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w:t>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(and recovery premium for the 2021 to 2022 academic year) funding to help improve the attainment of our disadvantaged pupils.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Ind w:w="-108.0" w:type="dxa"/>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spacing w:after="60" w:before="60" w:line="240" w:lineRule="auto"/>
              <w:ind w:left="57" w:right="57" w:firstLine="0"/>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Century Gothic" w:cs="Century Gothic" w:eastAsia="Century Gothic" w:hAnsi="Century Gothic"/>
                <w:color w:val="808080"/>
                <w:rtl w:val="0"/>
              </w:rPr>
              <w:t xml:space="preserve">Longcause Community Special  School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126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66/126 = 52%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2022-2025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September 2022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September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Anne Hutchinson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Trudi Skinner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Fred Jenkins</w:t>
            </w:r>
            <w:r w:rsidDel="00000000" w:rsidR="00000000" w:rsidRPr="00000000">
              <w:rPr>
                <w:rtl w:val="0"/>
              </w:rPr>
            </w:r>
          </w:p>
        </w:tc>
      </w:tr>
    </w:tbl>
    <w:p w:rsidR="00000000" w:rsidDel="00000000" w:rsidP="00000000" w:rsidRDefault="00000000" w:rsidRPr="00000000" w14:paraId="00000019">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86.0" w:type="dxa"/>
        <w:jc w:val="left"/>
        <w:tblInd w:w="-108.0" w:type="dxa"/>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£69,330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£ 7612</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£76,942</w:t>
            </w:r>
          </w:p>
        </w:tc>
      </w:tr>
    </w:tbl>
    <w:p w:rsidR="00000000" w:rsidDel="00000000" w:rsidP="00000000" w:rsidRDefault="00000000" w:rsidRPr="00000000" w14:paraId="00000025">
      <w:pPr>
        <w:pStyle w:val="Heading1"/>
        <w:rPr/>
      </w:pPr>
      <w:r w:rsidDel="00000000" w:rsidR="00000000" w:rsidRPr="00000000">
        <w:rPr>
          <w:rtl w:val="0"/>
        </w:rPr>
        <w:t xml:space="preserve">Part A: Pupil premium strategy plan</w:t>
      </w:r>
    </w:p>
    <w:p w:rsidR="00000000" w:rsidDel="00000000" w:rsidP="00000000" w:rsidRDefault="00000000" w:rsidRPr="00000000" w14:paraId="00000026">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Ind w:w="-108.0" w:type="dxa"/>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spacing w:before="120" w:lineRule="auto"/>
              <w:rPr/>
            </w:pPr>
            <w:r w:rsidDel="00000000" w:rsidR="00000000" w:rsidRPr="00000000">
              <w:rPr>
                <w:rtl w:val="0"/>
              </w:rPr>
              <w:t xml:space="preserve">Our aim is to use pupil premium funding to help us achieve and sustain positive outcomes for our disadvantaged pupils. We do not see a gap between our disadvantaged and non-disadvantaged pupils when compared with their peers, due to the contact of our setting. </w:t>
            </w:r>
          </w:p>
          <w:p w:rsidR="00000000" w:rsidDel="00000000" w:rsidP="00000000" w:rsidRDefault="00000000" w:rsidRPr="00000000" w14:paraId="00000028">
            <w:pPr>
              <w:spacing w:after="120" w:before="240" w:lineRule="auto"/>
              <w:rPr/>
            </w:pPr>
            <w:r w:rsidDel="00000000" w:rsidR="00000000" w:rsidRPr="00000000">
              <w:rPr>
                <w:rtl w:val="0"/>
              </w:rPr>
              <w:t xml:space="preserve">At the heart of our approach is high-quality teaching focussed on areas that disadvantaged pupils require it most, targeted support based on robust diagnostic assessment of need, and helping pupils to access as broad and balanced curriculum as possible.</w:t>
            </w:r>
          </w:p>
          <w:p w:rsidR="00000000" w:rsidDel="00000000" w:rsidP="00000000" w:rsidRDefault="00000000" w:rsidRPr="00000000" w14:paraId="00000029">
            <w:pPr>
              <w:spacing w:after="120" w:before="240" w:lineRule="auto"/>
              <w:rPr/>
            </w:pPr>
            <w:r w:rsidDel="00000000" w:rsidR="00000000" w:rsidRPr="00000000">
              <w:rPr>
                <w:rtl w:val="0"/>
              </w:rPr>
              <w:t xml:space="preserve">Although our strategy is focused on the needs of disadvantaged pupils, it will benefit all pupils in our school where funding is spent on whole-school approaches, such as high-quality teaching. Implicit in the intended outcomes detailed below, is the intention that outcomes for non-disadvantaged pupils will be improved alongside progress for their disadvantaged peers.</w:t>
            </w:r>
          </w:p>
          <w:p w:rsidR="00000000" w:rsidDel="00000000" w:rsidP="00000000" w:rsidRDefault="00000000" w:rsidRPr="00000000" w14:paraId="0000002A">
            <w:pPr>
              <w:spacing w:after="120" w:before="240" w:lineRule="auto"/>
              <w:rPr/>
            </w:pPr>
            <w:r w:rsidDel="00000000" w:rsidR="00000000" w:rsidRPr="00000000">
              <w:rPr>
                <w:rtl w:val="0"/>
              </w:rPr>
              <w:t xml:space="preserve">We will also provide disadvantaged pupils with support to develop independent life and social skills and continue to ensure that high-quality experience of work, careers guidance is available to all.</w:t>
            </w:r>
          </w:p>
          <w:p w:rsidR="00000000" w:rsidDel="00000000" w:rsidP="00000000" w:rsidRDefault="00000000" w:rsidRPr="00000000" w14:paraId="0000002B">
            <w:pPr>
              <w:spacing w:after="120" w:before="240" w:lineRule="auto"/>
              <w:rPr/>
            </w:pPr>
            <w:r w:rsidDel="00000000" w:rsidR="00000000" w:rsidRPr="00000000">
              <w:rPr>
                <w:rtl w:val="0"/>
              </w:rPr>
            </w:r>
          </w:p>
          <w:p w:rsidR="00000000" w:rsidDel="00000000" w:rsidP="00000000" w:rsidRDefault="00000000" w:rsidRPr="00000000" w14:paraId="0000002C">
            <w:pPr>
              <w:spacing w:before="120" w:lineRule="auto"/>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tl w:val="0"/>
              </w:rPr>
              <w:t xml:space="preserve">Our strategy will be driven by the needs and strengths of each young person, based on formal and informal assessments, not assumptions or labels. This will help us to ensure that we offer them the relevant skills and experience they require to be prepared for adulthood.</w:t>
            </w:r>
            <w:r w:rsidDel="00000000" w:rsidR="00000000" w:rsidRPr="00000000">
              <w:rPr>
                <w:rtl w:val="0"/>
              </w:rPr>
            </w:r>
          </w:p>
        </w:tc>
      </w:tr>
    </w:tbl>
    <w:p w:rsidR="00000000" w:rsidDel="00000000" w:rsidP="00000000" w:rsidRDefault="00000000" w:rsidRPr="00000000" w14:paraId="0000002D">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E">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Ind w:w="-108.0" w:type="dxa"/>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Communication and Interaction - for many of our pupils this is their primary area of need. Difficulties with speech, language and/or communication lead to barriers in their learning and progress.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spacing w:after="60" w:before="60" w:line="240" w:lineRule="auto"/>
              <w:ind w:left="57" w:right="57" w:firstLine="0"/>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t xml:space="preserve">Positive relationships in school - due to the complex communication needs of our pupils and their understanding of the world around them (i.e. their peers) pupils struggle within this area.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Engagement in learning - our children can struggle to engage in the curriculum if it is not appropriate for them.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3C">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Ind w:w="-108.0" w:type="dxa"/>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3F">
            <w:pPr>
              <w:spacing w:after="0" w:lin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Attainment in English through RWI embedding - further coaching of teachers from FJ - RWInc trainer and staff training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0">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will improve their reading, spelling, comprehension and handwriting through this programme. Progress will be tracked termly and measured against individual starting points. </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Improve engagement in learning in English and Maths through coaching and team teaching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2">
            <w:pPr>
              <w:spacing w:after="60" w:before="60" w:line="240" w:lineRule="auto"/>
              <w:ind w:left="57" w:right="57" w:firstLine="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Improved teaching in particular in English and Maths </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Improved language and communication in the Explorers pathway through individual intervention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4">
            <w:pPr>
              <w:spacing w:after="60" w:before="60" w:line="240" w:lineRule="auto"/>
              <w:ind w:left="57" w:right="57" w:firstLine="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Speech and language plans will be individualised to ensure that pupils all make progress with their communication and or language use. </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Behaviour incidents/ positive relationships</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6">
            <w:pPr>
              <w:spacing w:after="60" w:before="60" w:line="240" w:lineRule="auto"/>
              <w:ind w:left="57" w:right="57"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Less exclusions </w:t>
            </w:r>
          </w:p>
          <w:p w:rsidR="00000000" w:rsidDel="00000000" w:rsidP="00000000" w:rsidRDefault="00000000" w:rsidRPr="00000000" w14:paraId="00000047">
            <w:pPr>
              <w:spacing w:after="60" w:before="60" w:line="240" w:lineRule="auto"/>
              <w:ind w:left="57" w:right="57"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Improved social interactions at break and lunches </w:t>
            </w:r>
          </w:p>
          <w:p w:rsidR="00000000" w:rsidDel="00000000" w:rsidP="00000000" w:rsidRDefault="00000000" w:rsidRPr="00000000" w14:paraId="00000048">
            <w:pPr>
              <w:spacing w:after="60" w:before="60" w:line="240" w:lineRule="auto"/>
              <w:ind w:left="57" w:right="57"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Less disruption to the learning in the classroom </w:t>
            </w:r>
          </w:p>
          <w:p w:rsidR="00000000" w:rsidDel="00000000" w:rsidP="00000000" w:rsidRDefault="00000000" w:rsidRPr="00000000" w14:paraId="00000049">
            <w:pPr>
              <w:spacing w:after="60" w:before="60" w:line="240" w:lineRule="auto"/>
              <w:ind w:left="57" w:right="57"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Social learning times </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Group work and not always 1:1 provision</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B">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Through high quality teaching and CPD focussed on Rosenshine’s principles, evidence will be seen in  </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Travel training for older pupils - preparing pupils to be independent in travelling (walking/bus) around local area and beyond</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D">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particular focus on year 11s needing the use of public transport. </w:t>
            </w:r>
          </w:p>
          <w:p w:rsidR="00000000" w:rsidDel="00000000" w:rsidP="00000000" w:rsidRDefault="00000000" w:rsidRPr="00000000" w14:paraId="0000004E">
            <w:pPr>
              <w:spacing w:after="60" w:before="60" w:line="240" w:lineRule="auto"/>
              <w:ind w:left="57" w:right="57"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Daily mile - encourage all pupils to engage with this in the local area. </w:t>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Improved social interactions and independence towards socialising </w:t>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1">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access social opportunities outside of school </w:t>
            </w:r>
          </w:p>
          <w:p w:rsidR="00000000" w:rsidDel="00000000" w:rsidP="00000000" w:rsidRDefault="00000000" w:rsidRPr="00000000" w14:paraId="00000052">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Friendships develop outside of school </w:t>
            </w:r>
          </w:p>
          <w:p w:rsidR="00000000" w:rsidDel="00000000" w:rsidP="00000000" w:rsidRDefault="00000000" w:rsidRPr="00000000" w14:paraId="00000053">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and families more proactive in arranging out of school opportunities to socialise </w:t>
            </w:r>
          </w:p>
          <w:p w:rsidR="00000000" w:rsidDel="00000000" w:rsidP="00000000" w:rsidRDefault="00000000" w:rsidRPr="00000000" w14:paraId="00000054">
            <w:pPr>
              <w:spacing w:after="60" w:before="60" w:line="240" w:lineRule="auto"/>
              <w:ind w:left="57" w:right="57" w:firstLine="0"/>
              <w:rPr>
                <w:rFonts w:ascii="Century Gothic" w:cs="Century Gothic" w:eastAsia="Century Gothic" w:hAnsi="Century Gothic"/>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5">
            <w:pPr>
              <w:spacing w:after="0" w:line="240" w:lineRule="auto"/>
              <w:rPr>
                <w:rFonts w:ascii="Century Gothic" w:cs="Century Gothic" w:eastAsia="Century Gothic" w:hAnsi="Century Gothic"/>
                <w:sz w:val="22"/>
                <w:szCs w:val="22"/>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6">
            <w:pPr>
              <w:spacing w:after="60" w:before="60" w:line="240" w:lineRule="auto"/>
              <w:ind w:left="57" w:right="57" w:firstLine="0"/>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57">
      <w:pPr>
        <w:pStyle w:val="Heading2"/>
        <w:rPr/>
      </w:pPr>
      <w:r w:rsidDel="00000000" w:rsidR="00000000" w:rsidRPr="00000000">
        <w:rPr>
          <w:rtl w:val="0"/>
        </w:rPr>
      </w:r>
    </w:p>
    <w:p w:rsidR="00000000" w:rsidDel="00000000" w:rsidP="00000000" w:rsidRDefault="00000000" w:rsidRPr="00000000" w14:paraId="00000058">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2"/>
        <w:rPr/>
      </w:pPr>
      <w:r w:rsidDel="00000000" w:rsidR="00000000" w:rsidRPr="00000000">
        <w:rPr>
          <w:rtl w:val="0"/>
        </w:rPr>
        <w:t xml:space="preserve">Activity in this academic year</w:t>
      </w:r>
    </w:p>
    <w:p w:rsidR="00000000" w:rsidDel="00000000" w:rsidP="00000000" w:rsidRDefault="00000000" w:rsidRPr="00000000" w14:paraId="0000005A">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5B">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5C">
      <w:pPr>
        <w:rPr/>
      </w:pPr>
      <w:r w:rsidDel="00000000" w:rsidR="00000000" w:rsidRPr="00000000">
        <w:rPr>
          <w:rtl w:val="0"/>
        </w:rPr>
        <w:t xml:space="preserve">Budgeted cost: </w:t>
      </w:r>
    </w:p>
    <w:p w:rsidR="00000000" w:rsidDel="00000000" w:rsidP="00000000" w:rsidRDefault="00000000" w:rsidRPr="00000000" w14:paraId="0000005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£21, 012 (Assistant Head time)</w:t>
      </w:r>
    </w:p>
    <w:p w:rsidR="00000000" w:rsidDel="00000000" w:rsidP="00000000" w:rsidRDefault="00000000" w:rsidRPr="00000000" w14:paraId="0000005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 400 (RWInc training)</w:t>
      </w:r>
    </w:p>
    <w:p w:rsidR="00000000" w:rsidDel="00000000" w:rsidP="00000000" w:rsidRDefault="00000000" w:rsidRPr="00000000" w14:paraId="0000005F">
      <w:pPr>
        <w:spacing w:after="60" w:before="60" w:line="240" w:lineRule="auto"/>
        <w:ind w:left="0"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£10, 780 (resources)</w:t>
      </w:r>
    </w:p>
    <w:p w:rsidR="00000000" w:rsidDel="00000000" w:rsidP="00000000" w:rsidRDefault="00000000" w:rsidRPr="00000000" w14:paraId="00000060">
      <w:pPr>
        <w:spacing w:after="60" w:before="60" w:line="240" w:lineRule="auto"/>
        <w:ind w:left="0" w:right="57" w:firstLine="0"/>
        <w:rPr>
          <w:rFonts w:ascii="Century Gothic" w:cs="Century Gothic" w:eastAsia="Century Gothic" w:hAnsi="Century Gothic"/>
        </w:rPr>
      </w:pPr>
      <w:r w:rsidDel="00000000" w:rsidR="00000000" w:rsidRPr="00000000">
        <w:rPr>
          <w:rtl w:val="0"/>
        </w:rPr>
      </w:r>
    </w:p>
    <w:tbl>
      <w:tblPr>
        <w:tblStyle w:val="Table6"/>
        <w:tblW w:w="9486.0" w:type="dxa"/>
        <w:jc w:val="left"/>
        <w:tblInd w:w="-108.0" w:type="dxa"/>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spacing w:after="60" w:before="60" w:line="240" w:lineRule="auto"/>
              <w:ind w:left="57" w:right="57" w:firstLine="0"/>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Century Gothic" w:cs="Century Gothic" w:eastAsia="Century Gothic" w:hAnsi="Century Gothic"/>
                <w:rtl w:val="0"/>
              </w:rPr>
              <w:t xml:space="preserve">Embedding RWI further, including the next steps (comprehension and Language and Literacy programmes)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5">
            <w:pPr>
              <w:spacing w:after="60" w:before="60" w:line="240" w:lineRule="auto"/>
              <w:ind w:left="57" w:right="57"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EEF Toolkit measures (including impact on learning in months)</w:t>
            </w:r>
          </w:p>
          <w:p w:rsidR="00000000" w:rsidDel="00000000" w:rsidP="00000000" w:rsidRDefault="00000000" w:rsidRPr="00000000" w14:paraId="00000066">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Individualised instruction </w:t>
            </w:r>
          </w:p>
          <w:p w:rsidR="00000000" w:rsidDel="00000000" w:rsidP="00000000" w:rsidRDefault="00000000" w:rsidRPr="00000000" w14:paraId="00000067">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Mastery Learning </w:t>
            </w:r>
          </w:p>
          <w:p w:rsidR="00000000" w:rsidDel="00000000" w:rsidP="00000000" w:rsidRDefault="00000000" w:rsidRPr="00000000" w14:paraId="00000068">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Phonics </w:t>
            </w:r>
          </w:p>
          <w:p w:rsidR="00000000" w:rsidDel="00000000" w:rsidP="00000000" w:rsidRDefault="00000000" w:rsidRPr="00000000" w14:paraId="00000069">
            <w:pPr>
              <w:spacing w:after="60" w:before="60" w:line="240" w:lineRule="auto"/>
              <w:ind w:left="57" w:right="57" w:firstLine="0"/>
              <w:rPr>
                <w:rFonts w:ascii="Century Gothic" w:cs="Century Gothic" w:eastAsia="Century Gothic" w:hAnsi="Century Gothic"/>
              </w:rPr>
            </w:pPr>
            <w:hyperlink r:id="rId7">
              <w:r w:rsidDel="00000000" w:rsidR="00000000" w:rsidRPr="00000000">
                <w:rPr>
                  <w:rFonts w:ascii="Century Gothic" w:cs="Century Gothic" w:eastAsia="Century Gothic" w:hAnsi="Century Gothic"/>
                  <w:color w:val="1155cc"/>
                  <w:u w:val="single"/>
                  <w:rtl w:val="0"/>
                </w:rPr>
                <w:t xml:space="preserve">https://educationendowmentfoundation.org.uk/education-evidence/guidance-reports/literacy-ks-1</w:t>
              </w:r>
            </w:hyperlink>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6A">
            <w:pPr>
              <w:spacing w:after="60" w:before="60" w:line="240" w:lineRule="auto"/>
              <w:ind w:left="57" w:right="57"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spacing w:after="60" w:before="60" w:line="240" w:lineRule="auto"/>
              <w:ind w:left="57" w:right="57" w:firstLine="0"/>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Century Gothic" w:cs="Century Gothic" w:eastAsia="Century Gothic" w:hAnsi="Century Gothic"/>
                <w:color w:val="000000"/>
                <w:rtl w:val="0"/>
              </w:rPr>
              <w:t xml:space="preserve">Improved modelling in teaching English and Maths through Assistant Head (expert in English and Maths) being in lessons and coaching and team teaching.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8">
              <w:r w:rsidDel="00000000" w:rsidR="00000000" w:rsidRPr="00000000">
                <w:rPr>
                  <w:color w:val="1155cc"/>
                  <w:sz w:val="22"/>
                  <w:szCs w:val="22"/>
                  <w:u w:val="single"/>
                  <w:rtl w:val="0"/>
                </w:rPr>
                <w:t xml:space="preserve">Teaching Maths KS1</w:t>
              </w:r>
            </w:hyperlink>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9">
              <w:r w:rsidDel="00000000" w:rsidR="00000000" w:rsidRPr="00000000">
                <w:rPr>
                  <w:color w:val="1155cc"/>
                  <w:sz w:val="22"/>
                  <w:szCs w:val="22"/>
                  <w:u w:val="single"/>
                  <w:rtl w:val="0"/>
                </w:rPr>
                <w:t xml:space="preserve">Modelling in Maths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1, 3</w:t>
            </w:r>
            <w:r w:rsidDel="00000000" w:rsidR="00000000" w:rsidRPr="00000000">
              <w:rPr>
                <w:rtl w:val="0"/>
              </w:rPr>
            </w:r>
          </w:p>
        </w:tc>
      </w:tr>
    </w:tbl>
    <w:p w:rsidR="00000000" w:rsidDel="00000000" w:rsidP="00000000" w:rsidRDefault="00000000" w:rsidRPr="00000000" w14:paraId="00000070">
      <w:pPr>
        <w:keepNext w:val="1"/>
        <w:spacing w:after="60" w:lineRule="auto"/>
        <w:rPr/>
      </w:pPr>
      <w:r w:rsidDel="00000000" w:rsidR="00000000" w:rsidRPr="00000000">
        <w:rPr>
          <w:rtl w:val="0"/>
        </w:rPr>
      </w:r>
    </w:p>
    <w:p w:rsidR="00000000" w:rsidDel="00000000" w:rsidP="00000000" w:rsidRDefault="00000000" w:rsidRPr="00000000" w14:paraId="00000071">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72">
      <w:pPr>
        <w:rPr/>
      </w:pPr>
      <w:r w:rsidDel="00000000" w:rsidR="00000000" w:rsidRPr="00000000">
        <w:rPr>
          <w:rtl w:val="0"/>
        </w:rPr>
        <w:t xml:space="preserve">Budgeted cost: £6270</w:t>
      </w:r>
      <w:r w:rsidDel="00000000" w:rsidR="00000000" w:rsidRPr="00000000">
        <w:rPr>
          <w:rtl w:val="0"/>
        </w:rPr>
      </w:r>
    </w:p>
    <w:tbl>
      <w:tblPr>
        <w:tblStyle w:val="Table7"/>
        <w:tblW w:w="9486.0" w:type="dxa"/>
        <w:jc w:val="left"/>
        <w:tblInd w:w="-108.0" w:type="dxa"/>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after="60" w:before="60" w:line="240" w:lineRule="auto"/>
              <w:ind w:left="57" w:right="57" w:firstLine="0"/>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Century Gothic" w:cs="Century Gothic" w:eastAsia="Century Gothic" w:hAnsi="Century Gothic"/>
                <w:color w:val="000000"/>
                <w:rtl w:val="0"/>
              </w:rPr>
              <w:t xml:space="preserve">Speech and language therapy plans to be written for all children on the Explorers Pathway and reviewed termly by Speech and language therapists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hyperlink r:id="rId10">
              <w:r w:rsidDel="00000000" w:rsidR="00000000" w:rsidRPr="00000000">
                <w:rPr>
                  <w:rFonts w:ascii="Century Gothic" w:cs="Century Gothic" w:eastAsia="Century Gothic" w:hAnsi="Century Gothic"/>
                  <w:color w:val="1155cc"/>
                  <w:sz w:val="22"/>
                  <w:szCs w:val="22"/>
                  <w:u w:val="single"/>
                  <w:rtl w:val="0"/>
                </w:rPr>
                <w:t xml:space="preserve">EEF research</w:t>
              </w:r>
            </w:hyperlink>
            <w:r w:rsidDel="00000000" w:rsidR="00000000" w:rsidRPr="00000000">
              <w:rPr>
                <w:rFonts w:ascii="Century Gothic" w:cs="Century Gothic" w:eastAsia="Century Gothic" w:hAnsi="Century Gothic"/>
                <w:sz w:val="22"/>
                <w:szCs w:val="22"/>
                <w:rtl w:val="0"/>
              </w:rPr>
              <w:t xml:space="preserve"> - oral language intervention, social and emotional learning.</w:t>
            </w:r>
            <w:r w:rsidDel="00000000" w:rsidR="00000000" w:rsidRPr="00000000">
              <w:rPr>
                <w:sz w:val="22"/>
                <w:szCs w:val="22"/>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1, 3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E">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07F">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80">
      <w:pPr>
        <w:spacing w:after="120" w:before="240" w:lineRule="auto"/>
        <w:rPr/>
      </w:pPr>
      <w:r w:rsidDel="00000000" w:rsidR="00000000" w:rsidRPr="00000000">
        <w:rPr>
          <w:rtl w:val="0"/>
        </w:rPr>
        <w:t xml:space="preserve">Budgeted cost: £34,299</w:t>
      </w:r>
    </w:p>
    <w:p w:rsidR="00000000" w:rsidDel="00000000" w:rsidP="00000000" w:rsidRDefault="00000000" w:rsidRPr="00000000" w14:paraId="00000081">
      <w:pPr>
        <w:spacing w:after="60" w:before="60" w:line="240" w:lineRule="auto"/>
        <w:ind w:right="5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£2565 Street Dancing</w:t>
      </w:r>
    </w:p>
    <w:p w:rsidR="00000000" w:rsidDel="00000000" w:rsidP="00000000" w:rsidRDefault="00000000" w:rsidRPr="00000000" w14:paraId="00000082">
      <w:pPr>
        <w:spacing w:after="60" w:before="60" w:line="240" w:lineRule="auto"/>
        <w:ind w:right="5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£6800 Swimming </w:t>
      </w:r>
    </w:p>
    <w:p w:rsidR="00000000" w:rsidDel="00000000" w:rsidP="00000000" w:rsidRDefault="00000000" w:rsidRPr="00000000" w14:paraId="00000083">
      <w:pPr>
        <w:spacing w:after="60" w:before="60" w:line="240" w:lineRule="auto"/>
        <w:ind w:right="5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£11,462 Support’Ed </w:t>
      </w:r>
    </w:p>
    <w:p w:rsidR="00000000" w:rsidDel="00000000" w:rsidP="00000000" w:rsidRDefault="00000000" w:rsidRPr="00000000" w14:paraId="00000084">
      <w:pPr>
        <w:spacing w:after="60" w:before="60" w:line="240" w:lineRule="auto"/>
        <w:ind w:right="5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£6,992 Occupational Therapist</w:t>
      </w:r>
    </w:p>
    <w:p w:rsidR="00000000" w:rsidDel="00000000" w:rsidP="00000000" w:rsidRDefault="00000000" w:rsidRPr="00000000" w14:paraId="00000085">
      <w:pPr>
        <w:spacing w:after="60" w:before="60" w:line="240" w:lineRule="auto"/>
        <w:ind w:right="5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240 Residential </w:t>
      </w:r>
    </w:p>
    <w:p w:rsidR="00000000" w:rsidDel="00000000" w:rsidP="00000000" w:rsidRDefault="00000000" w:rsidRPr="00000000" w14:paraId="00000086">
      <w:pPr>
        <w:spacing w:after="60" w:before="60" w:line="240" w:lineRule="auto"/>
        <w:ind w:right="5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£3,420 Social evening club (Tuesdays)</w:t>
      </w:r>
    </w:p>
    <w:p w:rsidR="00000000" w:rsidDel="00000000" w:rsidP="00000000" w:rsidRDefault="00000000" w:rsidRPr="00000000" w14:paraId="00000087">
      <w:pPr>
        <w:spacing w:after="60" w:before="60" w:line="240" w:lineRule="auto"/>
        <w:ind w:right="57"/>
        <w:rPr>
          <w:rFonts w:ascii="Century Gothic" w:cs="Century Gothic" w:eastAsia="Century Gothic" w:hAnsi="Century Gothic"/>
        </w:rPr>
      </w:pPr>
      <w:r w:rsidDel="00000000" w:rsidR="00000000" w:rsidRPr="00000000">
        <w:rPr>
          <w:rtl w:val="0"/>
        </w:rPr>
      </w:r>
    </w:p>
    <w:tbl>
      <w:tblPr>
        <w:tblStyle w:val="Table8"/>
        <w:tblW w:w="9489.0" w:type="dxa"/>
        <w:jc w:val="left"/>
        <w:tblInd w:w="-108.0" w:type="dxa"/>
        <w:tblLayout w:type="fixed"/>
        <w:tblLook w:val="0400"/>
      </w:tblPr>
      <w:tblGrid>
        <w:gridCol w:w="4050"/>
        <w:gridCol w:w="2895"/>
        <w:gridCol w:w="2544"/>
        <w:tblGridChange w:id="0">
          <w:tblGrid>
            <w:gridCol w:w="4050"/>
            <w:gridCol w:w="2895"/>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22"/>
                <w:szCs w:val="22"/>
              </w:rPr>
            </w:pPr>
            <w:r w:rsidDel="00000000" w:rsidR="00000000" w:rsidRPr="00000000">
              <w:rPr>
                <w:rtl w:val="0"/>
              </w:rPr>
              <w:t xml:space="preserve">Improved understanding of behaviours through - </w:t>
            </w:r>
            <w:r w:rsidDel="00000000" w:rsidR="00000000" w:rsidRPr="00000000">
              <w:rPr>
                <w:color w:val="000000"/>
                <w:sz w:val="22"/>
                <w:szCs w:val="22"/>
                <w:rtl w:val="0"/>
              </w:rPr>
              <w:t xml:space="preserve">Training to be delivered on PACE and the explosive child, trauma and ACEs </w:t>
            </w:r>
          </w:p>
          <w:p w:rsidR="00000000" w:rsidDel="00000000" w:rsidP="00000000" w:rsidRDefault="00000000" w:rsidRPr="00000000" w14:paraId="0000008C">
            <w:pPr>
              <w:widowControl w:val="0"/>
              <w:numPr>
                <w:ilvl w:val="0"/>
                <w:numId w:val="9"/>
              </w:numPr>
              <w:spacing w:after="0" w:line="240" w:lineRule="auto"/>
              <w:ind w:left="720" w:hanging="360"/>
              <w:rPr>
                <w:color w:val="000000"/>
                <w:sz w:val="22"/>
                <w:szCs w:val="22"/>
              </w:rPr>
            </w:pPr>
            <w:r w:rsidDel="00000000" w:rsidR="00000000" w:rsidRPr="00000000">
              <w:rPr>
                <w:color w:val="000000"/>
                <w:sz w:val="22"/>
                <w:szCs w:val="22"/>
                <w:rtl w:val="0"/>
              </w:rPr>
              <w:t xml:space="preserve">CPI </w:t>
            </w:r>
            <w:r w:rsidDel="00000000" w:rsidR="00000000" w:rsidRPr="00000000">
              <w:rPr>
                <w:color w:val="000000"/>
                <w:sz w:val="22"/>
                <w:szCs w:val="22"/>
                <w:rtl w:val="0"/>
              </w:rPr>
              <w:t xml:space="preserve">instructors to continue</w:t>
            </w:r>
            <w:r w:rsidDel="00000000" w:rsidR="00000000" w:rsidRPr="00000000">
              <w:rPr>
                <w:color w:val="000000"/>
                <w:sz w:val="22"/>
                <w:szCs w:val="22"/>
                <w:rtl w:val="0"/>
              </w:rPr>
              <w:t xml:space="preserve"> to provide CPI training for those staff that need it annually. </w:t>
            </w:r>
          </w:p>
          <w:p w:rsidR="00000000" w:rsidDel="00000000" w:rsidP="00000000" w:rsidRDefault="00000000" w:rsidRPr="00000000" w14:paraId="0000008D">
            <w:pPr>
              <w:widowControl w:val="0"/>
              <w:numPr>
                <w:ilvl w:val="0"/>
                <w:numId w:val="9"/>
              </w:numPr>
              <w:spacing w:after="0" w:line="240" w:lineRule="auto"/>
              <w:ind w:left="720" w:hanging="360"/>
              <w:rPr>
                <w:color w:val="000000"/>
                <w:sz w:val="22"/>
                <w:szCs w:val="22"/>
              </w:rPr>
            </w:pPr>
            <w:r w:rsidDel="00000000" w:rsidR="00000000" w:rsidRPr="00000000">
              <w:rPr>
                <w:color w:val="000000"/>
                <w:sz w:val="22"/>
                <w:szCs w:val="22"/>
                <w:rtl w:val="0"/>
              </w:rPr>
              <w:t xml:space="preserve">The Positive Relationship curriculum to be designed and developed </w:t>
            </w:r>
          </w:p>
          <w:p w:rsidR="00000000" w:rsidDel="00000000" w:rsidP="00000000" w:rsidRDefault="00000000" w:rsidRPr="00000000" w14:paraId="0000008E">
            <w:pPr>
              <w:widowControl w:val="0"/>
              <w:numPr>
                <w:ilvl w:val="0"/>
                <w:numId w:val="9"/>
              </w:numPr>
              <w:spacing w:after="0" w:line="240" w:lineRule="auto"/>
              <w:ind w:left="720" w:hanging="360"/>
              <w:rPr>
                <w:color w:val="000000"/>
                <w:sz w:val="22"/>
                <w:szCs w:val="22"/>
              </w:rPr>
            </w:pPr>
            <w:r w:rsidDel="00000000" w:rsidR="00000000" w:rsidRPr="00000000">
              <w:rPr>
                <w:color w:val="000000"/>
                <w:sz w:val="22"/>
                <w:szCs w:val="22"/>
                <w:rtl w:val="0"/>
              </w:rPr>
              <w:t xml:space="preserve">Training for staff on this curriculum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11">
              <w:r w:rsidDel="00000000" w:rsidR="00000000" w:rsidRPr="00000000">
                <w:rPr>
                  <w:color w:val="1155cc"/>
                  <w:sz w:val="22"/>
                  <w:szCs w:val="22"/>
                  <w:u w:val="single"/>
                  <w:rtl w:val="0"/>
                </w:rPr>
                <w:t xml:space="preserve">EIF report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after="60" w:before="60" w:line="240" w:lineRule="auto"/>
              <w:ind w:right="57"/>
              <w:rPr>
                <w:sz w:val="22"/>
                <w:szCs w:val="22"/>
              </w:rPr>
            </w:pPr>
            <w:r w:rsidDel="00000000" w:rsidR="00000000" w:rsidRPr="00000000">
              <w:rPr>
                <w:sz w:val="22"/>
                <w:szCs w:val="22"/>
                <w:rtl w:val="0"/>
              </w:rPr>
              <w:t xml:space="preserve">To provide pupils with a range of experiences and opportunities to develop their social communication skills -</w:t>
            </w:r>
          </w:p>
          <w:p w:rsidR="00000000" w:rsidDel="00000000" w:rsidP="00000000" w:rsidRDefault="00000000" w:rsidRPr="00000000" w14:paraId="00000092">
            <w:pPr>
              <w:numPr>
                <w:ilvl w:val="0"/>
                <w:numId w:val="4"/>
              </w:numPr>
              <w:spacing w:after="0" w:afterAutospacing="0" w:before="60" w:line="240" w:lineRule="auto"/>
              <w:ind w:left="720" w:right="57" w:hanging="360"/>
              <w:rPr>
                <w:sz w:val="22"/>
                <w:szCs w:val="22"/>
              </w:rPr>
            </w:pPr>
            <w:r w:rsidDel="00000000" w:rsidR="00000000" w:rsidRPr="00000000">
              <w:rPr>
                <w:sz w:val="22"/>
                <w:szCs w:val="22"/>
                <w:rtl w:val="0"/>
              </w:rPr>
              <w:t xml:space="preserve">Family breakfast on a weekly basis to improve communication skills in Explorers pathways</w:t>
            </w:r>
          </w:p>
          <w:p w:rsidR="00000000" w:rsidDel="00000000" w:rsidP="00000000" w:rsidRDefault="00000000" w:rsidRPr="00000000" w14:paraId="00000093">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Improved social interaction through engagement with activities such as fencing, street dancing. </w:t>
            </w:r>
          </w:p>
          <w:p w:rsidR="00000000" w:rsidDel="00000000" w:rsidP="00000000" w:rsidRDefault="00000000" w:rsidRPr="00000000" w14:paraId="00000094">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Development of the forest school area so pupils can access it. </w:t>
            </w:r>
          </w:p>
          <w:p w:rsidR="00000000" w:rsidDel="00000000" w:rsidP="00000000" w:rsidRDefault="00000000" w:rsidRPr="00000000" w14:paraId="00000095">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Bush Craft sessions </w:t>
            </w:r>
          </w:p>
          <w:p w:rsidR="00000000" w:rsidDel="00000000" w:rsidP="00000000" w:rsidRDefault="00000000" w:rsidRPr="00000000" w14:paraId="00000096">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Resources for Bushcraft</w:t>
            </w:r>
          </w:p>
          <w:p w:rsidR="00000000" w:rsidDel="00000000" w:rsidP="00000000" w:rsidRDefault="00000000" w:rsidRPr="00000000" w14:paraId="00000097">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Input from Nature Friendly Schools for all staff and with groups of pupils.  </w:t>
            </w:r>
          </w:p>
          <w:p w:rsidR="00000000" w:rsidDel="00000000" w:rsidP="00000000" w:rsidRDefault="00000000" w:rsidRPr="00000000" w14:paraId="00000098">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Access toSupport’ed. </w:t>
            </w:r>
          </w:p>
          <w:p w:rsidR="00000000" w:rsidDel="00000000" w:rsidP="00000000" w:rsidRDefault="00000000" w:rsidRPr="00000000" w14:paraId="00000099">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Opportunities to access provision from Support’ed to develop resilience offsite and in the community.</w:t>
            </w:r>
          </w:p>
          <w:p w:rsidR="00000000" w:rsidDel="00000000" w:rsidP="00000000" w:rsidRDefault="00000000" w:rsidRPr="00000000" w14:paraId="0000009A">
            <w:pPr>
              <w:numPr>
                <w:ilvl w:val="0"/>
                <w:numId w:val="4"/>
              </w:numPr>
              <w:spacing w:after="0" w:afterAutospacing="0" w:before="0" w:beforeAutospacing="0" w:line="240" w:lineRule="auto"/>
              <w:ind w:left="720" w:right="57" w:hanging="360"/>
              <w:rPr>
                <w:sz w:val="22"/>
                <w:szCs w:val="22"/>
              </w:rPr>
            </w:pPr>
            <w:r w:rsidDel="00000000" w:rsidR="00000000" w:rsidRPr="00000000">
              <w:rPr>
                <w:sz w:val="22"/>
                <w:szCs w:val="22"/>
                <w:rtl w:val="0"/>
              </w:rPr>
              <w:t xml:space="preserve">Offsite trips</w:t>
            </w:r>
          </w:p>
          <w:p w:rsidR="00000000" w:rsidDel="00000000" w:rsidP="00000000" w:rsidRDefault="00000000" w:rsidRPr="00000000" w14:paraId="0000009B">
            <w:pPr>
              <w:numPr>
                <w:ilvl w:val="0"/>
                <w:numId w:val="4"/>
              </w:numPr>
              <w:spacing w:after="60" w:before="0" w:beforeAutospacing="0" w:line="240" w:lineRule="auto"/>
              <w:ind w:left="720" w:right="57" w:hanging="360"/>
              <w:rPr>
                <w:sz w:val="22"/>
                <w:szCs w:val="22"/>
              </w:rPr>
            </w:pPr>
            <w:r w:rsidDel="00000000" w:rsidR="00000000" w:rsidRPr="00000000">
              <w:rPr>
                <w:sz w:val="22"/>
                <w:szCs w:val="22"/>
                <w:rtl w:val="0"/>
              </w:rPr>
              <w:t xml:space="preserve">D of E opportunities for KS4</w:t>
            </w:r>
          </w:p>
          <w:p w:rsidR="00000000" w:rsidDel="00000000" w:rsidP="00000000" w:rsidRDefault="00000000" w:rsidRPr="00000000" w14:paraId="0000009C">
            <w:pPr>
              <w:spacing w:after="60" w:before="60" w:line="240" w:lineRule="auto"/>
              <w:ind w:right="57"/>
              <w:rPr>
                <w:sz w:val="22"/>
                <w:szCs w:val="22"/>
              </w:rPr>
            </w:pPr>
            <w:r w:rsidDel="00000000" w:rsidR="00000000" w:rsidRPr="00000000">
              <w:rPr>
                <w:sz w:val="22"/>
                <w:szCs w:val="22"/>
                <w:rtl w:val="0"/>
              </w:rPr>
              <w:t xml:space="preserve">Swimming beyond our statutory offer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hyperlink r:id="rId12">
              <w:r w:rsidDel="00000000" w:rsidR="00000000" w:rsidRPr="00000000">
                <w:rPr>
                  <w:color w:val="1155cc"/>
                  <w:sz w:val="22"/>
                  <w:szCs w:val="22"/>
                  <w:u w:val="single"/>
                  <w:rtl w:val="0"/>
                </w:rPr>
                <w:t xml:space="preserve">Social Emotional learning </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1, 2, 3</w:t>
            </w:r>
            <w:r w:rsidDel="00000000" w:rsidR="00000000" w:rsidRPr="00000000">
              <w:rPr>
                <w:rtl w:val="0"/>
              </w:rPr>
            </w:r>
          </w:p>
        </w:tc>
      </w:tr>
    </w:tbl>
    <w:p w:rsidR="00000000" w:rsidDel="00000000" w:rsidP="00000000" w:rsidRDefault="00000000" w:rsidRPr="00000000" w14:paraId="0000009F">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A0">
      <w:pPr>
        <w:rPr/>
      </w:pPr>
      <w:r w:rsidDel="00000000" w:rsidR="00000000" w:rsidRPr="00000000">
        <w:rPr>
          <w:b w:val="1"/>
          <w:color w:val="104f75"/>
          <w:sz w:val="28"/>
          <w:szCs w:val="28"/>
          <w:rtl w:val="0"/>
        </w:rPr>
        <w:t xml:space="preserve">Total budgeted cost: £ </w:t>
      </w:r>
      <w:r w:rsidDel="00000000" w:rsidR="00000000" w:rsidRPr="00000000">
        <w:rPr>
          <w:i w:val="1"/>
          <w:color w:val="104f75"/>
          <w:sz w:val="28"/>
          <w:szCs w:val="28"/>
          <w:rtl w:val="0"/>
        </w:rPr>
        <w:t xml:space="preserve">76,761</w:t>
      </w:r>
      <w:r w:rsidDel="00000000" w:rsidR="00000000" w:rsidRPr="00000000">
        <w:rPr>
          <w:rtl w:val="0"/>
        </w:rPr>
      </w:r>
    </w:p>
    <w:p w:rsidR="00000000" w:rsidDel="00000000" w:rsidP="00000000" w:rsidRDefault="00000000" w:rsidRPr="00000000" w14:paraId="000000A1">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A2">
      <w:pPr>
        <w:pStyle w:val="Heading2"/>
        <w:rPr/>
      </w:pPr>
      <w:r w:rsidDel="00000000" w:rsidR="00000000" w:rsidRPr="00000000">
        <w:rPr>
          <w:rtl w:val="0"/>
        </w:rPr>
        <w:t xml:space="preserve">Pupil premium strategy outcomes</w:t>
      </w:r>
    </w:p>
    <w:p w:rsidR="00000000" w:rsidDel="00000000" w:rsidP="00000000" w:rsidRDefault="00000000" w:rsidRPr="00000000" w14:paraId="000000A3">
      <w:pPr>
        <w:rPr/>
      </w:pPr>
      <w:r w:rsidDel="00000000" w:rsidR="00000000" w:rsidRPr="00000000">
        <w:rPr>
          <w:rtl w:val="0"/>
        </w:rPr>
        <w:t xml:space="preserve">This details the impact that our pupil premium activity had on pupils in the 2020 to 2021 academic year. </w:t>
      </w:r>
    </w:p>
    <w:tbl>
      <w:tblPr>
        <w:tblStyle w:val="Table9"/>
        <w:tblW w:w="9493.0" w:type="dxa"/>
        <w:jc w:val="left"/>
        <w:tblInd w:w="-108.0" w:type="dxa"/>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numPr>
                <w:ilvl w:val="0"/>
                <w:numId w:val="2"/>
              </w:numPr>
              <w:shd w:fill="ffffff" w:val="clear"/>
              <w:spacing w:after="0" w:afterAutospacing="0" w:before="200" w:line="240" w:lineRule="auto"/>
              <w:ind w:left="940" w:hanging="360"/>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All pupils improved on their standardised reading age</w:t>
            </w:r>
          </w:p>
          <w:p w:rsidR="00000000" w:rsidDel="00000000" w:rsidP="00000000" w:rsidRDefault="00000000" w:rsidRPr="00000000" w14:paraId="000000A5">
            <w:pPr>
              <w:numPr>
                <w:ilvl w:val="0"/>
                <w:numId w:val="2"/>
              </w:numPr>
              <w:shd w:fill="ffffff" w:val="clear"/>
              <w:spacing w:after="0" w:afterAutospacing="0" w:before="0" w:beforeAutospacing="0" w:line="240" w:lineRule="auto"/>
              <w:ind w:left="940" w:hanging="360"/>
              <w:rPr>
                <w:rFonts w:ascii="Century Gothic" w:cs="Century Gothic" w:eastAsia="Century Gothic" w:hAnsi="Century Gothic"/>
                <w:color w:val="0d0d0d"/>
              </w:rPr>
            </w:pPr>
            <w:r w:rsidDel="00000000" w:rsidR="00000000" w:rsidRPr="00000000">
              <w:rPr>
                <w:rFonts w:ascii="Century Gothic" w:cs="Century Gothic" w:eastAsia="Century Gothic" w:hAnsi="Century Gothic"/>
                <w:sz w:val="22"/>
                <w:szCs w:val="22"/>
                <w:rtl w:val="0"/>
              </w:rPr>
              <w:t xml:space="preserve">All pupils (with the exception of the most complex non verbal children) moved through the sounds tracker at a slow but incremental pace</w:t>
            </w:r>
          </w:p>
          <w:p w:rsidR="00000000" w:rsidDel="00000000" w:rsidP="00000000" w:rsidRDefault="00000000" w:rsidRPr="00000000" w14:paraId="000000A6">
            <w:pPr>
              <w:numPr>
                <w:ilvl w:val="0"/>
                <w:numId w:val="2"/>
              </w:numPr>
              <w:shd w:fill="ffffff" w:val="clear"/>
              <w:spacing w:after="0" w:afterAutospacing="0" w:before="0" w:beforeAutospacing="0" w:line="240" w:lineRule="auto"/>
              <w:ind w:left="940" w:hanging="360"/>
              <w:rPr>
                <w:rFonts w:ascii="Century Gothic" w:cs="Century Gothic" w:eastAsia="Century Gothic" w:hAnsi="Century Gothic"/>
                <w:color w:val="0d0d0d"/>
              </w:rPr>
            </w:pPr>
            <w:r w:rsidDel="00000000" w:rsidR="00000000" w:rsidRPr="00000000">
              <w:rPr>
                <w:rFonts w:ascii="Century Gothic" w:cs="Century Gothic" w:eastAsia="Century Gothic" w:hAnsi="Century Gothic"/>
                <w:sz w:val="22"/>
                <w:szCs w:val="22"/>
                <w:rtl w:val="0"/>
              </w:rPr>
              <w:t xml:space="preserve">Handwriting and progress writes are evidence of the improved writing</w:t>
            </w:r>
          </w:p>
          <w:p w:rsidR="00000000" w:rsidDel="00000000" w:rsidP="00000000" w:rsidRDefault="00000000" w:rsidRPr="00000000" w14:paraId="000000A7">
            <w:pPr>
              <w:numPr>
                <w:ilvl w:val="0"/>
                <w:numId w:val="2"/>
              </w:numPr>
              <w:shd w:fill="ffffff" w:val="clear"/>
              <w:spacing w:after="200" w:before="0" w:beforeAutospacing="0" w:line="240" w:lineRule="auto"/>
              <w:ind w:left="940" w:hanging="360"/>
              <w:rPr>
                <w:rFonts w:ascii="Century Gothic" w:cs="Century Gothic" w:eastAsia="Century Gothic" w:hAnsi="Century Gothic"/>
                <w:color w:val="0d0d0d"/>
              </w:rPr>
            </w:pPr>
            <w:r w:rsidDel="00000000" w:rsidR="00000000" w:rsidRPr="00000000">
              <w:rPr>
                <w:rFonts w:ascii="Century Gothic" w:cs="Century Gothic" w:eastAsia="Century Gothic" w:hAnsi="Century Gothic"/>
                <w:sz w:val="22"/>
                <w:szCs w:val="22"/>
                <w:rtl w:val="0"/>
              </w:rPr>
              <w:t xml:space="preserve">Less behaviour incidents in English due to improved structure </w:t>
            </w:r>
          </w:p>
          <w:p w:rsidR="00000000" w:rsidDel="00000000" w:rsidP="00000000" w:rsidRDefault="00000000" w:rsidRPr="00000000" w14:paraId="000000A8">
            <w:pPr>
              <w:spacing w:after="60" w:before="60" w:line="240" w:lineRule="auto"/>
              <w:ind w:right="57"/>
              <w:rPr>
                <w:rFonts w:ascii="Century Gothic" w:cs="Century Gothic" w:eastAsia="Century Gothic" w:hAnsi="Century Gothic"/>
                <w:sz w:val="22"/>
                <w:szCs w:val="22"/>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numPr>
                <w:ilvl w:val="0"/>
                <w:numId w:val="7"/>
              </w:numPr>
              <w:spacing w:after="0" w:afterAutospacing="0" w:before="6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PE trackers developed for rebound, cycling and swimming interventions </w:t>
            </w:r>
          </w:p>
          <w:p w:rsidR="00000000" w:rsidDel="00000000" w:rsidP="00000000" w:rsidRDefault="00000000" w:rsidRPr="00000000" w14:paraId="000000AA">
            <w:pPr>
              <w:numPr>
                <w:ilvl w:val="0"/>
                <w:numId w:val="7"/>
              </w:numPr>
              <w:spacing w:after="6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Impact of the OT developed and measured with the support of the OT</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numPr>
                <w:ilvl w:val="0"/>
                <w:numId w:val="3"/>
              </w:numPr>
              <w:shd w:fill="ffffff" w:val="clear"/>
              <w:spacing w:after="0" w:afterAutospacing="0" w:before="200" w:line="240" w:lineRule="auto"/>
              <w:ind w:left="940" w:hanging="360"/>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Improved teaching in the classroom, reduced 1:1s and more class group teaching </w:t>
            </w:r>
          </w:p>
          <w:p w:rsidR="00000000" w:rsidDel="00000000" w:rsidP="00000000" w:rsidRDefault="00000000" w:rsidRPr="00000000" w14:paraId="000000AC">
            <w:pPr>
              <w:numPr>
                <w:ilvl w:val="0"/>
                <w:numId w:val="3"/>
              </w:numPr>
              <w:shd w:fill="ffffff" w:val="clear"/>
              <w:spacing w:after="0" w:afterAutospacing="0" w:before="0" w:beforeAutospacing="0" w:line="240" w:lineRule="auto"/>
              <w:ind w:left="940" w:hanging="360"/>
              <w:rPr>
                <w:rFonts w:ascii="Century Gothic" w:cs="Century Gothic" w:eastAsia="Century Gothic" w:hAnsi="Century Gothic"/>
                <w:color w:val="0d0d0d"/>
              </w:rPr>
            </w:pPr>
            <w:r w:rsidDel="00000000" w:rsidR="00000000" w:rsidRPr="00000000">
              <w:rPr>
                <w:rFonts w:ascii="Century Gothic" w:cs="Century Gothic" w:eastAsia="Century Gothic" w:hAnsi="Century Gothic"/>
                <w:sz w:val="22"/>
                <w:szCs w:val="22"/>
                <w:rtl w:val="0"/>
              </w:rPr>
              <w:t xml:space="preserve">Engagement has improved of pupils as they have a structure</w:t>
            </w:r>
          </w:p>
          <w:p w:rsidR="00000000" w:rsidDel="00000000" w:rsidP="00000000" w:rsidRDefault="00000000" w:rsidRPr="00000000" w14:paraId="000000AD">
            <w:pPr>
              <w:numPr>
                <w:ilvl w:val="0"/>
                <w:numId w:val="3"/>
              </w:numPr>
              <w:shd w:fill="ffffff" w:val="clear"/>
              <w:spacing w:after="200" w:before="0" w:beforeAutospacing="0" w:line="240" w:lineRule="auto"/>
              <w:ind w:left="940" w:hanging="360"/>
              <w:rPr>
                <w:rFonts w:ascii="Century Gothic" w:cs="Century Gothic" w:eastAsia="Century Gothic" w:hAnsi="Century Gothic"/>
                <w:color w:val="0d0d0d"/>
              </w:rPr>
            </w:pPr>
            <w:r w:rsidDel="00000000" w:rsidR="00000000" w:rsidRPr="00000000">
              <w:rPr>
                <w:rFonts w:ascii="Century Gothic" w:cs="Century Gothic" w:eastAsia="Century Gothic" w:hAnsi="Century Gothic"/>
                <w:sz w:val="22"/>
                <w:szCs w:val="22"/>
                <w:rtl w:val="0"/>
              </w:rPr>
              <w:t xml:space="preserve">Teachers are more skilled in subject areas due to improved training and information shared through schemes as well as 2:30 time. </w:t>
            </w:r>
          </w:p>
          <w:p w:rsidR="00000000" w:rsidDel="00000000" w:rsidP="00000000" w:rsidRDefault="00000000" w:rsidRPr="00000000" w14:paraId="000000AE">
            <w:pPr>
              <w:spacing w:after="60" w:before="60" w:line="240" w:lineRule="auto"/>
              <w:ind w:left="57" w:right="57" w:firstLine="0"/>
              <w:rPr>
                <w:rFonts w:ascii="Century Gothic" w:cs="Century Gothic" w:eastAsia="Century Gothic" w:hAnsi="Century Gothic"/>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numPr>
                <w:ilvl w:val="0"/>
                <w:numId w:val="6"/>
              </w:numPr>
              <w:spacing w:after="0" w:afterAutospacing="0" w:before="6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have been less incidents at social times </w:t>
            </w:r>
          </w:p>
          <w:p w:rsidR="00000000" w:rsidDel="00000000" w:rsidP="00000000" w:rsidRDefault="00000000" w:rsidRPr="00000000" w14:paraId="000000B0">
            <w:pPr>
              <w:numPr>
                <w:ilvl w:val="0"/>
                <w:numId w:val="6"/>
              </w:numPr>
              <w:spacing w:after="0" w:afterAutospacing="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Less pupils disengaged and out of class particularly during English and Maths </w:t>
            </w:r>
          </w:p>
          <w:p w:rsidR="00000000" w:rsidDel="00000000" w:rsidP="00000000" w:rsidRDefault="00000000" w:rsidRPr="00000000" w14:paraId="000000B1">
            <w:pPr>
              <w:numPr>
                <w:ilvl w:val="0"/>
                <w:numId w:val="6"/>
              </w:numPr>
              <w:spacing w:after="6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Decision to have a positives relationship curriculum developed for this academic year to have a bigger impact </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numPr>
                <w:ilvl w:val="0"/>
                <w:numId w:val="1"/>
              </w:numPr>
              <w:spacing w:after="60" w:before="6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Improved high quality teaching and high quality curriculum design has improved the number of children being taught with their peers</w:t>
            </w:r>
          </w:p>
          <w:p w:rsidR="00000000" w:rsidDel="00000000" w:rsidP="00000000" w:rsidRDefault="00000000" w:rsidRPr="00000000" w14:paraId="000000B3">
            <w:pPr>
              <w:spacing w:after="60" w:before="60" w:line="240" w:lineRule="auto"/>
              <w:ind w:left="720" w:right="57" w:firstLine="0"/>
              <w:rPr>
                <w:rFonts w:ascii="Century Gothic" w:cs="Century Gothic" w:eastAsia="Century Gothic" w:hAnsi="Century Gothic"/>
                <w:sz w:val="22"/>
                <w:szCs w:val="22"/>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numPr>
                <w:ilvl w:val="0"/>
                <w:numId w:val="5"/>
              </w:numPr>
              <w:spacing w:after="0" w:afterAutospacing="0" w:before="6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Opportunities to access provision from </w:t>
            </w:r>
            <w:r w:rsidDel="00000000" w:rsidR="00000000" w:rsidRPr="00000000">
              <w:rPr>
                <w:rFonts w:ascii="Century Gothic" w:cs="Century Gothic" w:eastAsia="Century Gothic" w:hAnsi="Century Gothic"/>
                <w:sz w:val="22"/>
                <w:szCs w:val="22"/>
                <w:rtl w:val="0"/>
              </w:rPr>
              <w:t xml:space="preserve">Support’ed</w:t>
            </w:r>
            <w:r w:rsidDel="00000000" w:rsidR="00000000" w:rsidRPr="00000000">
              <w:rPr>
                <w:rFonts w:ascii="Century Gothic" w:cs="Century Gothic" w:eastAsia="Century Gothic" w:hAnsi="Century Gothic"/>
                <w:sz w:val="22"/>
                <w:szCs w:val="22"/>
                <w:rtl w:val="0"/>
              </w:rPr>
              <w:t xml:space="preserve"> to develop resilience offsite and in the community.</w:t>
            </w:r>
          </w:p>
          <w:p w:rsidR="00000000" w:rsidDel="00000000" w:rsidP="00000000" w:rsidRDefault="00000000" w:rsidRPr="00000000" w14:paraId="000000B5">
            <w:pPr>
              <w:numPr>
                <w:ilvl w:val="0"/>
                <w:numId w:val="5"/>
              </w:numPr>
              <w:spacing w:after="0" w:afterAutospacing="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Offsite trips</w:t>
            </w:r>
          </w:p>
          <w:p w:rsidR="00000000" w:rsidDel="00000000" w:rsidP="00000000" w:rsidRDefault="00000000" w:rsidRPr="00000000" w14:paraId="000000B6">
            <w:pPr>
              <w:numPr>
                <w:ilvl w:val="0"/>
                <w:numId w:val="5"/>
              </w:numPr>
              <w:spacing w:after="0" w:afterAutospacing="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Forest school </w:t>
            </w:r>
          </w:p>
          <w:p w:rsidR="00000000" w:rsidDel="00000000" w:rsidP="00000000" w:rsidRDefault="00000000" w:rsidRPr="00000000" w14:paraId="000000B7">
            <w:pPr>
              <w:numPr>
                <w:ilvl w:val="0"/>
                <w:numId w:val="5"/>
              </w:numPr>
              <w:spacing w:after="0" w:afterAutospacing="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 of E opportunities for KS4</w:t>
              <w:tab/>
            </w:r>
          </w:p>
          <w:p w:rsidR="00000000" w:rsidDel="00000000" w:rsidP="00000000" w:rsidRDefault="00000000" w:rsidRPr="00000000" w14:paraId="000000B8">
            <w:pPr>
              <w:numPr>
                <w:ilvl w:val="0"/>
                <w:numId w:val="5"/>
              </w:numPr>
              <w:spacing w:after="6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Residentials </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numPr>
                <w:ilvl w:val="0"/>
                <w:numId w:val="8"/>
              </w:numPr>
              <w:spacing w:after="0" w:afterAutospacing="0" w:before="6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year 11s had access to this </w:t>
            </w:r>
          </w:p>
          <w:p w:rsidR="00000000" w:rsidDel="00000000" w:rsidP="00000000" w:rsidRDefault="00000000" w:rsidRPr="00000000" w14:paraId="000000BA">
            <w:pPr>
              <w:numPr>
                <w:ilvl w:val="0"/>
                <w:numId w:val="8"/>
              </w:numPr>
              <w:spacing w:after="60" w:before="0" w:beforeAutospacing="0" w:line="240" w:lineRule="auto"/>
              <w:ind w:left="720" w:right="57"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have a member of staff paid to do this </w:t>
            </w:r>
          </w:p>
        </w:tc>
      </w:tr>
    </w:tbl>
    <w:p w:rsidR="00000000" w:rsidDel="00000000" w:rsidP="00000000" w:rsidRDefault="00000000" w:rsidRPr="00000000" w14:paraId="000000BB">
      <w:pPr>
        <w:rPr/>
      </w:pPr>
      <w:r w:rsidDel="00000000" w:rsidR="00000000" w:rsidRPr="00000000">
        <w:rPr>
          <w:rtl w:val="0"/>
        </w:rPr>
      </w:r>
    </w:p>
    <w:sectPr>
      <w:headerReference r:id="rId13" w:type="default"/>
      <w:footerReference r:id="rId14"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if.org.uk/report/adverse-childhood-experiences-what-we-know-what-we-dont-know-and-what-should-happen-next" TargetMode="External"/><Relationship Id="rId10"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amp;search_term=speech%20and%20language" TargetMode="External"/><Relationship Id="rId13" Type="http://schemas.openxmlformats.org/officeDocument/2006/relationships/header" Target="header1.xml"/><Relationship Id="rId12" Type="http://schemas.openxmlformats.org/officeDocument/2006/relationships/hyperlink" Target="https://educationendowmentfoundation.org.uk/education-evidence/early-years-toolkit/social-and-emotional-learning-strategies?utm_source=/education-evidence/early-years-toolkit/social-and-emotional-learning-strategies&amp;utm_medium=search&amp;utm_campaign=site_searchh&amp;search_te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endowmentfoundation.org.uk/news/eef-blog-integrating-evidence-into-mathematics-teaching-making-sense-through-modell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cationendowmentfoundation.org.uk/education-evidence/guidance-reports/literacy-ks-1" TargetMode="External"/><Relationship Id="rId8" Type="http://schemas.openxmlformats.org/officeDocument/2006/relationships/hyperlink" Target="https://educationendowmentfoundation.org.uk/education-evidence/evidence-reviews/early-years-and-key-stage-1-mathematics-teaching?utm_source=/education-evidence/evidence-reviews/early-years-and-key-stage-1-mathematics-teaching&amp;utm_medium=search&amp;utm_campaign=site_search&amp;search_term=coaching%20and%20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DfVtJA4YDrUJ7FAuBwgkFWyCFg==">AMUW2mUNSn8y1Qa2OhImXO3YbZpu8pW3ipih+H11kEXGdPsL8GlecykYvRe/xidhJ1WwzYeWcW0VCsVZnOXI6yEdhl7Mvx+STXuDO9BnGgf1cfSqyA9Kvg64c9fOe3E7gTXfo7MA5A4q5c7CVVTKyf9DAkpKhPBa9A==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2021-09-03T15:40:00Z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