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114300" distT="114300" distL="114300" distR="114300">
            <wp:extent cx="4086225" cy="4352925"/>
            <wp:effectExtent b="0" l="0" r="0" t="0"/>
            <wp:docPr id="2"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4086225" cy="43529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sz w:val="60"/>
          <w:szCs w:val="60"/>
        </w:rPr>
      </w:pPr>
      <w:r w:rsidDel="00000000" w:rsidR="00000000" w:rsidRPr="00000000">
        <w:rPr>
          <w:sz w:val="60"/>
          <w:szCs w:val="60"/>
          <w:rtl w:val="0"/>
        </w:rPr>
        <w:t xml:space="preserve">KS4</w:t>
      </w:r>
    </w:p>
    <w:p w:rsidR="00000000" w:rsidDel="00000000" w:rsidP="00000000" w:rsidRDefault="00000000" w:rsidRPr="00000000" w14:paraId="00000005">
      <w:pPr>
        <w:jc w:val="center"/>
        <w:rPr>
          <w:sz w:val="60"/>
          <w:szCs w:val="60"/>
        </w:rPr>
      </w:pPr>
      <w:r w:rsidDel="00000000" w:rsidR="00000000" w:rsidRPr="00000000">
        <w:rPr>
          <w:sz w:val="60"/>
          <w:szCs w:val="60"/>
          <w:rtl w:val="0"/>
        </w:rPr>
        <w:t xml:space="preserve">End of year 2018-2019 Pupil Progress Information</w:t>
      </w:r>
      <w:r w:rsidDel="00000000" w:rsidR="00000000" w:rsidRPr="00000000">
        <w:br w:type="page"/>
      </w:r>
      <w:r w:rsidDel="00000000" w:rsidR="00000000" w:rsidRPr="00000000">
        <w:rPr>
          <w:rtl w:val="0"/>
        </w:rPr>
      </w:r>
    </w:p>
    <w:p w:rsidR="00000000" w:rsidDel="00000000" w:rsidP="00000000" w:rsidRDefault="00000000" w:rsidRPr="00000000" w14:paraId="00000006">
      <w:pPr>
        <w:jc w:val="center"/>
        <w:rPr>
          <w:sz w:val="60"/>
          <w:szCs w:val="60"/>
        </w:rPr>
      </w:pPr>
      <w:r w:rsidDel="00000000" w:rsidR="00000000" w:rsidRPr="00000000">
        <w:rPr>
          <w:sz w:val="60"/>
          <w:szCs w:val="60"/>
          <w:rtl w:val="0"/>
        </w:rPr>
        <w:t xml:space="preserve">Contents</w:t>
      </w:r>
    </w:p>
    <w:p w:rsidR="00000000" w:rsidDel="00000000" w:rsidP="00000000" w:rsidRDefault="00000000" w:rsidRPr="00000000" w14:paraId="00000007">
      <w:pPr>
        <w:jc w:val="center"/>
        <w:rPr/>
      </w:pPr>
      <w:r w:rsidDel="00000000" w:rsidR="00000000" w:rsidRPr="00000000">
        <w:rPr>
          <w:rtl w:val="0"/>
        </w:rPr>
      </w:r>
    </w:p>
    <w:tbl>
      <w:tblPr>
        <w:tblStyle w:val="Table1"/>
        <w:tblW w:w="1539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99"/>
        <w:gridCol w:w="7699"/>
        <w:tblGridChange w:id="0">
          <w:tblGrid>
            <w:gridCol w:w="7699"/>
            <w:gridCol w:w="769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b w:val="1"/>
                <w:sz w:val="28"/>
                <w:szCs w:val="28"/>
              </w:rPr>
            </w:pPr>
            <w:r w:rsidDel="00000000" w:rsidR="00000000" w:rsidRPr="00000000">
              <w:rPr>
                <w:b w:val="1"/>
                <w:sz w:val="28"/>
                <w:szCs w:val="28"/>
                <w:rtl w:val="0"/>
              </w:rPr>
              <w:t xml:space="preserve">KS4 pupil progress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28"/>
                <w:szCs w:val="28"/>
              </w:rPr>
            </w:pPr>
            <w:r w:rsidDel="00000000" w:rsidR="00000000" w:rsidRPr="00000000">
              <w:rPr>
                <w:sz w:val="28"/>
                <w:szCs w:val="28"/>
                <w:rtl w:val="0"/>
              </w:rPr>
              <w:t xml:space="preserve">Pages 2-8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Headlines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Progress information across English, Maths, ICT, LLfL, RE and 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End of Year 11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8</w:t>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sz w:val="28"/>
          <w:szCs w:val="28"/>
          <w:u w:val="single"/>
        </w:rPr>
      </w:pPr>
      <w:r w:rsidDel="00000000" w:rsidR="00000000" w:rsidRPr="00000000">
        <w:rPr>
          <w:rtl w:val="0"/>
        </w:rPr>
      </w:r>
    </w:p>
    <w:p w:rsidR="00000000" w:rsidDel="00000000" w:rsidP="00000000" w:rsidRDefault="00000000" w:rsidRPr="00000000" w14:paraId="00000020">
      <w:pPr>
        <w:rPr>
          <w:b w:val="1"/>
          <w:sz w:val="28"/>
          <w:szCs w:val="28"/>
          <w:u w:val="single"/>
        </w:rPr>
      </w:pPr>
      <w:r w:rsidDel="00000000" w:rsidR="00000000" w:rsidRPr="00000000">
        <w:rPr>
          <w:rtl w:val="0"/>
        </w:rPr>
      </w:r>
    </w:p>
    <w:p w:rsidR="00000000" w:rsidDel="00000000" w:rsidP="00000000" w:rsidRDefault="00000000" w:rsidRPr="00000000" w14:paraId="00000021">
      <w:pPr>
        <w:jc w:val="center"/>
        <w:rPr>
          <w:b w:val="1"/>
          <w:sz w:val="36"/>
          <w:szCs w:val="36"/>
        </w:rPr>
      </w:pPr>
      <w:r w:rsidDel="00000000" w:rsidR="00000000" w:rsidRPr="00000000">
        <w:rPr>
          <w:rtl w:val="0"/>
        </w:rPr>
      </w:r>
    </w:p>
    <w:p w:rsidR="00000000" w:rsidDel="00000000" w:rsidP="00000000" w:rsidRDefault="00000000" w:rsidRPr="00000000" w14:paraId="00000022">
      <w:pPr>
        <w:jc w:val="center"/>
        <w:rPr>
          <w:b w:val="1"/>
          <w:sz w:val="36"/>
          <w:szCs w:val="36"/>
        </w:rPr>
      </w:pPr>
      <w:r w:rsidDel="00000000" w:rsidR="00000000" w:rsidRPr="00000000">
        <w:rPr>
          <w:rtl w:val="0"/>
        </w:rPr>
      </w:r>
    </w:p>
    <w:p w:rsidR="00000000" w:rsidDel="00000000" w:rsidP="00000000" w:rsidRDefault="00000000" w:rsidRPr="00000000" w14:paraId="00000023">
      <w:pPr>
        <w:jc w:val="center"/>
        <w:rPr>
          <w:b w:val="1"/>
          <w:sz w:val="36"/>
          <w:szCs w:val="36"/>
        </w:rPr>
      </w:pPr>
      <w:r w:rsidDel="00000000" w:rsidR="00000000" w:rsidRPr="00000000">
        <w:rPr>
          <w:b w:val="1"/>
          <w:sz w:val="36"/>
          <w:szCs w:val="36"/>
          <w:rtl w:val="0"/>
        </w:rPr>
        <w:t xml:space="preserve">KS4 Pupil Progress  Information End of Term 6 2018-2019</w:t>
      </w:r>
    </w:p>
    <w:p w:rsidR="00000000" w:rsidDel="00000000" w:rsidP="00000000" w:rsidRDefault="00000000" w:rsidRPr="00000000" w14:paraId="00000024">
      <w:pPr>
        <w:rPr/>
      </w:pPr>
      <w:r w:rsidDel="00000000" w:rsidR="00000000" w:rsidRPr="00000000">
        <w:rPr>
          <w:b w:val="1"/>
          <w:sz w:val="28"/>
          <w:szCs w:val="28"/>
          <w:rtl w:val="0"/>
        </w:rPr>
        <w:t xml:space="preserve">Headlines:</w:t>
      </w:r>
      <w:r w:rsidDel="00000000" w:rsidR="00000000" w:rsidRPr="00000000">
        <w:rPr>
          <w:rtl w:val="0"/>
        </w:rPr>
      </w:r>
    </w:p>
    <w:p w:rsidR="00000000" w:rsidDel="00000000" w:rsidP="00000000" w:rsidRDefault="00000000" w:rsidRPr="00000000" w14:paraId="00000025">
      <w:pPr>
        <w:numPr>
          <w:ilvl w:val="0"/>
          <w:numId w:val="1"/>
        </w:numPr>
        <w:ind w:left="720" w:hanging="360"/>
        <w:rPr>
          <w:sz w:val="28"/>
          <w:szCs w:val="28"/>
        </w:rPr>
      </w:pPr>
      <w:r w:rsidDel="00000000" w:rsidR="00000000" w:rsidRPr="00000000">
        <w:rPr>
          <w:sz w:val="28"/>
          <w:szCs w:val="28"/>
          <w:rtl w:val="0"/>
        </w:rPr>
        <w:t xml:space="preserve">All pupils have met their end of KS4 targeted outcomes.   1 pupil exceeded  target in Maths and English and 1 pupil exceeded  target in ICT.  </w:t>
      </w:r>
    </w:p>
    <w:p w:rsidR="00000000" w:rsidDel="00000000" w:rsidP="00000000" w:rsidRDefault="00000000" w:rsidRPr="00000000" w14:paraId="00000026">
      <w:pPr>
        <w:numPr>
          <w:ilvl w:val="0"/>
          <w:numId w:val="1"/>
        </w:numPr>
        <w:ind w:left="720" w:hanging="360"/>
        <w:rPr>
          <w:sz w:val="28"/>
          <w:szCs w:val="28"/>
        </w:rPr>
      </w:pPr>
      <w:r w:rsidDel="00000000" w:rsidR="00000000" w:rsidRPr="00000000">
        <w:rPr>
          <w:sz w:val="28"/>
          <w:szCs w:val="28"/>
          <w:rtl w:val="0"/>
        </w:rPr>
        <w:t xml:space="preserve">81% of all pupils making progress across English, Maths and ICT which is slightly more than Pupil Premium pupils (77%).</w:t>
      </w:r>
    </w:p>
    <w:p w:rsidR="00000000" w:rsidDel="00000000" w:rsidP="00000000" w:rsidRDefault="00000000" w:rsidRPr="00000000" w14:paraId="00000027">
      <w:pPr>
        <w:numPr>
          <w:ilvl w:val="0"/>
          <w:numId w:val="1"/>
        </w:numPr>
        <w:ind w:left="720" w:hanging="360"/>
        <w:rPr>
          <w:sz w:val="28"/>
          <w:szCs w:val="28"/>
          <w:u w:val="none"/>
        </w:rPr>
      </w:pPr>
      <w:r w:rsidDel="00000000" w:rsidR="00000000" w:rsidRPr="00000000">
        <w:rPr>
          <w:sz w:val="28"/>
          <w:szCs w:val="28"/>
          <w:rtl w:val="0"/>
        </w:rPr>
        <w:t xml:space="preserve">Across the academic year </w:t>
      </w:r>
      <w:r w:rsidDel="00000000" w:rsidR="00000000" w:rsidRPr="00000000">
        <w:rPr>
          <w:b w:val="1"/>
          <w:sz w:val="28"/>
          <w:szCs w:val="28"/>
          <w:u w:val="single"/>
          <w:rtl w:val="0"/>
        </w:rPr>
        <w:t xml:space="preserve">100% of pupils have made progress across all areas</w:t>
      </w:r>
      <w:r w:rsidDel="00000000" w:rsidR="00000000" w:rsidRPr="00000000">
        <w:rPr>
          <w:sz w:val="28"/>
          <w:szCs w:val="28"/>
          <w:rtl w:val="0"/>
        </w:rPr>
        <w:t xml:space="preserve"> (English, Maths, ICT, LLfL, RE, PE overall) with the exception of one Year 10 pupil in RE.</w:t>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b w:val="1"/>
          <w:sz w:val="24"/>
          <w:szCs w:val="24"/>
          <w:u w:val="single"/>
        </w:rPr>
      </w:pPr>
      <w:r w:rsidDel="00000000" w:rsidR="00000000" w:rsidRPr="00000000">
        <w:rPr>
          <w:b w:val="1"/>
          <w:sz w:val="24"/>
          <w:szCs w:val="24"/>
          <w:u w:val="single"/>
          <w:rtl w:val="0"/>
        </w:rPr>
        <w:t xml:space="preserve">Reading age assessment end of term 6 2018-2019 (based on a Reading Age test).</w:t>
      </w:r>
    </w:p>
    <w:p w:rsidR="00000000" w:rsidDel="00000000" w:rsidP="00000000" w:rsidRDefault="00000000" w:rsidRPr="00000000" w14:paraId="0000002A">
      <w:pPr>
        <w:rPr>
          <w:b w:val="1"/>
          <w:sz w:val="28"/>
          <w:szCs w:val="28"/>
          <w:u w:val="single"/>
        </w:rPr>
      </w:pPr>
      <w:r w:rsidDel="00000000" w:rsidR="00000000" w:rsidRPr="00000000">
        <w:rPr>
          <w:i w:val="1"/>
          <w:sz w:val="24"/>
          <w:szCs w:val="24"/>
          <w:rtl w:val="0"/>
        </w:rPr>
        <w:t xml:space="preserve">Further reading progress information is found in the progress through the curriculum and progress with HFW, phonics phases and book bands.</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hd w:fill="ffffff" w:val="clear"/>
        <w:spacing w:after="200" w:line="276.0005454545455" w:lineRule="auto"/>
        <w:rPr>
          <w:b w:val="1"/>
          <w:color w:val="222222"/>
          <w:sz w:val="24"/>
          <w:szCs w:val="24"/>
        </w:rPr>
      </w:pPr>
      <w:r w:rsidDel="00000000" w:rsidR="00000000" w:rsidRPr="00000000">
        <w:rPr>
          <w:b w:val="1"/>
          <w:color w:val="222222"/>
          <w:sz w:val="24"/>
          <w:szCs w:val="24"/>
          <w:rtl w:val="0"/>
        </w:rPr>
        <w:t xml:space="preserve">KS4 pupils:</w:t>
      </w:r>
    </w:p>
    <w:p w:rsidR="00000000" w:rsidDel="00000000" w:rsidP="00000000" w:rsidRDefault="00000000" w:rsidRPr="00000000" w14:paraId="0000002D">
      <w:pPr>
        <w:shd w:fill="ffffff" w:val="clear"/>
        <w:spacing w:after="200" w:line="276.0005454545455" w:lineRule="auto"/>
        <w:rPr>
          <w:color w:val="222222"/>
        </w:rPr>
      </w:pPr>
      <w:r w:rsidDel="00000000" w:rsidR="00000000" w:rsidRPr="00000000">
        <w:rPr>
          <w:color w:val="222222"/>
          <w:rtl w:val="0"/>
        </w:rPr>
        <w:t xml:space="preserve"> 13% of our KS4 readers not yet at a functionally literate reading age of at least 9 years, this shows an improving picture from end of term 4. Overall a much improved picture for reading.</w:t>
      </w:r>
    </w:p>
    <w:p w:rsidR="00000000" w:rsidDel="00000000" w:rsidP="00000000" w:rsidRDefault="00000000" w:rsidRPr="00000000" w14:paraId="0000002E">
      <w:pPr>
        <w:shd w:fill="ffffff" w:val="clear"/>
        <w:spacing w:after="200" w:line="276.0005454545455" w:lineRule="auto"/>
        <w:rPr>
          <w:color w:val="222222"/>
        </w:rPr>
      </w:pPr>
      <w:r w:rsidDel="00000000" w:rsidR="00000000" w:rsidRPr="00000000">
        <w:rPr>
          <w:color w:val="222222"/>
          <w:rtl w:val="0"/>
        </w:rPr>
        <w:t xml:space="preserve">Of this 13% = 3 pupils, 1 pupil is Year 10 and 2 are Year 11.  All 3 pupils are having an intensive reading program and reading daily with a consistent adult. All 3 made progress since end of Term 4 reading age assessment.  The 2 year 11 pupils achieved EL2 in their English Functional Skills.</w:t>
      </w:r>
    </w:p>
    <w:p w:rsidR="00000000" w:rsidDel="00000000" w:rsidP="00000000" w:rsidRDefault="00000000" w:rsidRPr="00000000" w14:paraId="0000002F">
      <w:pPr>
        <w:rPr>
          <w:sz w:val="28"/>
          <w:szCs w:val="28"/>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All KS4 pupils:</w:t>
      </w:r>
    </w:p>
    <w:p w:rsidR="00000000" w:rsidDel="00000000" w:rsidP="00000000" w:rsidRDefault="00000000" w:rsidRPr="00000000" w14:paraId="0000003C">
      <w:pPr>
        <w:rPr/>
      </w:pPr>
      <w:r w:rsidDel="00000000" w:rsidR="00000000" w:rsidRPr="00000000">
        <w:rPr/>
        <w:drawing>
          <wp:inline distB="114300" distT="114300" distL="114300" distR="114300">
            <wp:extent cx="7962900" cy="5990156"/>
            <wp:effectExtent b="0" l="0" r="0" t="0"/>
            <wp:docPr id="6"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7962900" cy="5990156"/>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3D">
      <w:pPr>
        <w:rPr>
          <w:highlight w:val="yellow"/>
        </w:rPr>
      </w:pPr>
      <w:r w:rsidDel="00000000" w:rsidR="00000000" w:rsidRPr="00000000">
        <w:rPr>
          <w:highlight w:val="yellow"/>
          <w:rtl w:val="0"/>
        </w:rPr>
        <w:t xml:space="preserve">Same comparable average to  end of Term 4 figure</w:t>
      </w:r>
    </w:p>
    <w:p w:rsidR="00000000" w:rsidDel="00000000" w:rsidP="00000000" w:rsidRDefault="00000000" w:rsidRPr="00000000" w14:paraId="0000003E">
      <w:pPr>
        <w:rPr/>
      </w:pPr>
      <w:r w:rsidDel="00000000" w:rsidR="00000000" w:rsidRPr="00000000">
        <w:rPr>
          <w:rtl w:val="0"/>
        </w:rPr>
        <w:t xml:space="preserve">Pupil Premium groups:</w:t>
      </w:r>
    </w:p>
    <w:p w:rsidR="00000000" w:rsidDel="00000000" w:rsidP="00000000" w:rsidRDefault="00000000" w:rsidRPr="00000000" w14:paraId="0000003F">
      <w:pPr>
        <w:rPr/>
      </w:pPr>
      <w:r w:rsidDel="00000000" w:rsidR="00000000" w:rsidRPr="00000000">
        <w:rPr/>
        <w:drawing>
          <wp:inline distB="114300" distT="114300" distL="114300" distR="114300">
            <wp:extent cx="9324975" cy="5048250"/>
            <wp:effectExtent b="0" l="0" r="0" t="0"/>
            <wp:docPr id="1"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9324975" cy="504825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highlight w:val="yellow"/>
        </w:rPr>
      </w:pPr>
      <w:r w:rsidDel="00000000" w:rsidR="00000000" w:rsidRPr="00000000">
        <w:rPr>
          <w:highlight w:val="yellow"/>
          <w:rtl w:val="0"/>
        </w:rPr>
        <w:t xml:space="preserve">Slightly less than end of Term 4 comparable figure (88%) and slightly less than all pupils in KS4 (86%)</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KS4 pupils - More able and disadvantaged:</w:t>
      </w:r>
    </w:p>
    <w:p w:rsidR="00000000" w:rsidDel="00000000" w:rsidP="00000000" w:rsidRDefault="00000000" w:rsidRPr="00000000" w14:paraId="00000048">
      <w:pPr>
        <w:rPr/>
      </w:pPr>
      <w:r w:rsidDel="00000000" w:rsidR="00000000" w:rsidRPr="00000000">
        <w:rPr/>
        <w:drawing>
          <wp:inline distB="114300" distT="114300" distL="114300" distR="114300">
            <wp:extent cx="9302750" cy="2705100"/>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9302750"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rPr/>
      </w:pPr>
      <w:r w:rsidDel="00000000" w:rsidR="00000000" w:rsidRPr="00000000">
        <w:rPr/>
        <w:drawing>
          <wp:inline distB="114300" distT="114300" distL="114300" distR="114300">
            <wp:extent cx="9387417" cy="2743200"/>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9387417"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Year 11 Pupil Progress Information for Functional Skills subject areas - English, Maths and ICT progress towards targets:</w:t>
      </w:r>
    </w:p>
    <w:p w:rsidR="00000000" w:rsidDel="00000000" w:rsidP="00000000" w:rsidRDefault="00000000" w:rsidRPr="00000000" w14:paraId="0000004D">
      <w:pPr>
        <w:rPr/>
      </w:pPr>
      <w:r w:rsidDel="00000000" w:rsidR="00000000" w:rsidRPr="00000000">
        <w:rPr>
          <w:rtl w:val="0"/>
        </w:rPr>
        <w:t xml:space="preserve">All Pupils:</w:t>
      </w:r>
    </w:p>
    <w:p w:rsidR="00000000" w:rsidDel="00000000" w:rsidP="00000000" w:rsidRDefault="00000000" w:rsidRPr="00000000" w14:paraId="0000004E">
      <w:pPr>
        <w:rPr/>
      </w:pPr>
      <w:r w:rsidDel="00000000" w:rsidR="00000000" w:rsidRPr="00000000">
        <w:rPr/>
        <w:drawing>
          <wp:inline distB="114300" distT="114300" distL="114300" distR="114300">
            <wp:extent cx="8890193" cy="5495925"/>
            <wp:effectExtent b="0" l="0" r="0" t="0"/>
            <wp:docPr descr="Chart" id="3" name="image2.png"/>
            <a:graphic>
              <a:graphicData uri="http://schemas.openxmlformats.org/drawingml/2006/picture">
                <pic:pic>
                  <pic:nvPicPr>
                    <pic:cNvPr descr="Chart" id="0" name="image2.png"/>
                    <pic:cNvPicPr preferRelativeResize="0"/>
                  </pic:nvPicPr>
                  <pic:blipFill>
                    <a:blip r:embed="rId11"/>
                    <a:srcRect b="0" l="0" r="0" t="0"/>
                    <a:stretch>
                      <a:fillRect/>
                    </a:stretch>
                  </pic:blipFill>
                  <pic:spPr>
                    <a:xfrm>
                      <a:off x="0" y="0"/>
                      <a:ext cx="8890193" cy="549592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Year 11 pupils have sat Functional Skills exams.  All pupils have achieved the level they were entered for with the exception of one pupil who will not be entered for L1 ICT and will remain at EL3 in ICT.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Pupil Premium Pupils: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drawing>
          <wp:inline distB="114300" distT="114300" distL="114300" distR="114300">
            <wp:extent cx="8677275" cy="5365209"/>
            <wp:effectExtent b="0" l="0" r="0" t="0"/>
            <wp:docPr descr="Chart" id="4" name="image1.png"/>
            <a:graphic>
              <a:graphicData uri="http://schemas.openxmlformats.org/drawingml/2006/picture">
                <pic:pic>
                  <pic:nvPicPr>
                    <pic:cNvPr descr="Chart" id="0" name="image1.png"/>
                    <pic:cNvPicPr preferRelativeResize="0"/>
                  </pic:nvPicPr>
                  <pic:blipFill>
                    <a:blip r:embed="rId12"/>
                    <a:srcRect b="0" l="0" r="0" t="0"/>
                    <a:stretch>
                      <a:fillRect/>
                    </a:stretch>
                  </pic:blipFill>
                  <pic:spPr>
                    <a:xfrm>
                      <a:off x="0" y="0"/>
                      <a:ext cx="8677275" cy="5365209"/>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rPr>
          <w:b w:val="1"/>
          <w:u w:val="single"/>
        </w:rPr>
      </w:pPr>
      <w:r w:rsidDel="00000000" w:rsidR="00000000" w:rsidRPr="00000000">
        <w:rPr>
          <w:b w:val="1"/>
          <w:u w:val="single"/>
          <w:rtl w:val="0"/>
        </w:rPr>
        <w:t xml:space="preserve">Year 11 Accredited outcomes:</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bl>
      <w:tblPr>
        <w:tblStyle w:val="Table2"/>
        <w:tblW w:w="1539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9.6"/>
        <w:gridCol w:w="3079.6"/>
        <w:gridCol w:w="3079.6"/>
        <w:gridCol w:w="3079.6"/>
        <w:gridCol w:w="3079.6"/>
        <w:tblGridChange w:id="0">
          <w:tblGrid>
            <w:gridCol w:w="3079.6"/>
            <w:gridCol w:w="3079.6"/>
            <w:gridCol w:w="3079.6"/>
            <w:gridCol w:w="3079.6"/>
            <w:gridCol w:w="3079.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6">
            <w:pPr>
              <w:rPr/>
            </w:pPr>
            <w:r w:rsidDel="00000000" w:rsidR="00000000" w:rsidRPr="00000000">
              <w:rPr>
                <w:rtl w:val="0"/>
              </w:rPr>
              <w:t xml:space="preserve">Functional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Level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Level 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pupils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6 pupils (35%)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 xml:space="preserve">6  pupils (35%)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pupils (18%)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pupil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pupils (35%)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 xml:space="preserve">7 pupils (41%)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pupils (18%)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pupils (29%)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 xml:space="preserve">11 pupils (65%)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pupil (6%)</w:t>
            </w:r>
          </w:p>
        </w:tc>
      </w:tr>
      <w:tr>
        <w:trPr>
          <w:trHeight w:val="420" w:hRule="atLeast"/>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All pupils on site are leaving  with a Functional Skills qualification in English, Maths and ICT</w:t>
            </w:r>
          </w:p>
        </w:tc>
      </w:tr>
    </w:tbl>
    <w:p w:rsidR="00000000" w:rsidDel="00000000" w:rsidP="00000000" w:rsidRDefault="00000000" w:rsidRPr="00000000" w14:paraId="0000006F">
      <w:pPr>
        <w:rPr/>
      </w:pPr>
      <w:r w:rsidDel="00000000" w:rsidR="00000000" w:rsidRPr="00000000">
        <w:rPr>
          <w:rtl w:val="0"/>
        </w:rPr>
      </w:r>
    </w:p>
    <w:tbl>
      <w:tblPr>
        <w:tblStyle w:val="Table3"/>
        <w:tblW w:w="152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0"/>
        <w:gridCol w:w="3450"/>
        <w:gridCol w:w="4035"/>
        <w:gridCol w:w="3990"/>
        <w:tblGridChange w:id="0">
          <w:tblGrid>
            <w:gridCol w:w="3780"/>
            <w:gridCol w:w="3450"/>
            <w:gridCol w:w="4035"/>
            <w:gridCol w:w="3990"/>
          </w:tblGrid>
        </w:tblGridChange>
      </w:tblGrid>
      <w:tr>
        <w:trPr>
          <w:trHeight w:val="76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t xml:space="preserve">BTEC Applied Science</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rtl w:val="0"/>
              </w:rPr>
              <w:t xml:space="preserve">BTEC Home Cooking</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2">
            <w:pPr>
              <w:rPr/>
            </w:pPr>
            <w:r w:rsidDel="00000000" w:rsidR="00000000" w:rsidRPr="00000000">
              <w:rPr>
                <w:rtl w:val="0"/>
              </w:rPr>
              <w:t xml:space="preserve">BTEC Sport and Active Leisure</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rtl w:val="0"/>
              </w:rPr>
              <w:t xml:space="preserve">ASDAN PSD</w:t>
            </w:r>
          </w:p>
        </w:tc>
      </w:tr>
      <w:tr>
        <w:trPr>
          <w:trHeight w:val="7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t xml:space="preserve">Level 1 Certificate: 71%</w:t>
            </w:r>
          </w:p>
          <w:p w:rsidR="00000000" w:rsidDel="00000000" w:rsidP="00000000" w:rsidRDefault="00000000" w:rsidRPr="00000000" w14:paraId="00000075">
            <w:pPr>
              <w:rPr/>
            </w:pPr>
            <w:r w:rsidDel="00000000" w:rsidR="00000000" w:rsidRPr="00000000">
              <w:rPr>
                <w:rtl w:val="0"/>
              </w:rPr>
              <w:t xml:space="preserve">Level 1 Award: 29%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rtl w:val="0"/>
              </w:rPr>
              <w:t xml:space="preserve">Level 2: 94%</w:t>
            </w:r>
          </w:p>
          <w:p w:rsidR="00000000" w:rsidDel="00000000" w:rsidP="00000000" w:rsidRDefault="00000000" w:rsidRPr="00000000" w14:paraId="00000077">
            <w:pPr>
              <w:rPr/>
            </w:pPr>
            <w:r w:rsidDel="00000000" w:rsidR="00000000" w:rsidRPr="00000000">
              <w:rPr>
                <w:rtl w:val="0"/>
              </w:rPr>
              <w:t xml:space="preserve">Level 1: 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rPr/>
            </w:pPr>
            <w:r w:rsidDel="00000000" w:rsidR="00000000" w:rsidRPr="00000000">
              <w:rPr>
                <w:rtl w:val="0"/>
              </w:rPr>
              <w:t xml:space="preserve">Level 1: 41%</w:t>
            </w:r>
          </w:p>
          <w:p w:rsidR="00000000" w:rsidDel="00000000" w:rsidP="00000000" w:rsidRDefault="00000000" w:rsidRPr="00000000" w14:paraId="00000079">
            <w:pPr>
              <w:rPr/>
            </w:pPr>
            <w:r w:rsidDel="00000000" w:rsidR="00000000" w:rsidRPr="00000000">
              <w:rPr>
                <w:rtl w:val="0"/>
              </w:rPr>
              <w:t xml:space="preserve">EL3:  59%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rPr/>
            </w:pPr>
            <w:r w:rsidDel="00000000" w:rsidR="00000000" w:rsidRPr="00000000">
              <w:rPr>
                <w:rtl w:val="0"/>
              </w:rPr>
              <w:t xml:space="preserve">Level 1: 35%</w:t>
            </w:r>
          </w:p>
          <w:p w:rsidR="00000000" w:rsidDel="00000000" w:rsidP="00000000" w:rsidRDefault="00000000" w:rsidRPr="00000000" w14:paraId="0000007B">
            <w:pPr>
              <w:rPr/>
            </w:pPr>
            <w:r w:rsidDel="00000000" w:rsidR="00000000" w:rsidRPr="00000000">
              <w:rPr>
                <w:rtl w:val="0"/>
              </w:rPr>
              <w:t xml:space="preserve">EL3:  65%</w:t>
            </w:r>
          </w:p>
        </w:tc>
      </w:tr>
      <w:tr>
        <w:trPr>
          <w:trHeight w:val="780" w:hRule="atLeast"/>
        </w:trPr>
        <w:tc>
          <w:tcPr>
            <w:gridSpan w:val="4"/>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jc w:val="center"/>
              <w:rPr>
                <w:b w:val="1"/>
              </w:rPr>
            </w:pPr>
            <w:r w:rsidDel="00000000" w:rsidR="00000000" w:rsidRPr="00000000">
              <w:rPr>
                <w:b w:val="1"/>
                <w:rtl w:val="0"/>
              </w:rPr>
              <w:t xml:space="preserve">All pupils on site are leaving with a BTEC in Applied Science, Home Cooking and Sport and Active Leisure as well as an ASDAN Personal and Social Development qualification</w:t>
            </w:r>
          </w:p>
        </w:tc>
      </w:tr>
    </w:tbl>
    <w:p w:rsidR="00000000" w:rsidDel="00000000" w:rsidP="00000000" w:rsidRDefault="00000000" w:rsidRPr="00000000" w14:paraId="00000080">
      <w:pPr>
        <w:rPr/>
      </w:pPr>
      <w:r w:rsidDel="00000000" w:rsidR="00000000" w:rsidRPr="00000000">
        <w:rPr>
          <w:rtl w:val="0"/>
        </w:rPr>
        <w:t xml:space="preserve"> </w:t>
      </w:r>
    </w:p>
    <w:p w:rsidR="00000000" w:rsidDel="00000000" w:rsidP="00000000" w:rsidRDefault="00000000" w:rsidRPr="00000000" w14:paraId="00000081">
      <w:pPr>
        <w:rPr/>
      </w:pPr>
      <w:r w:rsidDel="00000000" w:rsidR="00000000" w:rsidRPr="00000000">
        <w:rPr>
          <w:rtl w:val="0"/>
        </w:rPr>
        <w:t xml:space="preserve">Duke of Edinburgh achievements:</w:t>
      </w:r>
    </w:p>
    <w:tbl>
      <w:tblPr>
        <w:tblStyle w:val="Table4"/>
        <w:tblW w:w="151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15"/>
        <w:gridCol w:w="7680"/>
        <w:tblGridChange w:id="0">
          <w:tblGrid>
            <w:gridCol w:w="7515"/>
            <w:gridCol w:w="7680"/>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2">
            <w:pPr>
              <w:jc w:val="center"/>
              <w:rPr>
                <w:b w:val="1"/>
              </w:rPr>
            </w:pPr>
            <w:r w:rsidDel="00000000" w:rsidR="00000000" w:rsidRPr="00000000">
              <w:rPr>
                <w:b w:val="1"/>
                <w:rtl w:val="0"/>
              </w:rPr>
              <w:t xml:space="preserve">Silver</w:t>
            </w:r>
          </w:p>
        </w:tc>
        <w:tc>
          <w:tcPr>
            <w:tcBorders>
              <w:top w:color="000000" w:space="0" w:sz="8" w:val="single"/>
              <w:left w:color="000000" w:space="0" w:sz="0" w:val="nil"/>
              <w:bottom w:color="000000" w:space="0" w:sz="8" w:val="single"/>
              <w:right w:color="000000" w:space="0" w:sz="8" w:val="single"/>
            </w:tcBorders>
            <w:shd w:fill="fbe4d5" w:val="clear"/>
            <w:tcMar>
              <w:top w:w="100.0" w:type="dxa"/>
              <w:left w:w="100.0" w:type="dxa"/>
              <w:bottom w:w="100.0" w:type="dxa"/>
              <w:right w:w="100.0" w:type="dxa"/>
            </w:tcMar>
            <w:vAlign w:val="top"/>
          </w:tcPr>
          <w:p w:rsidR="00000000" w:rsidDel="00000000" w:rsidP="00000000" w:rsidRDefault="00000000" w:rsidRPr="00000000" w14:paraId="00000083">
            <w:pPr>
              <w:jc w:val="center"/>
              <w:rPr>
                <w:b w:val="1"/>
              </w:rPr>
            </w:pPr>
            <w:r w:rsidDel="00000000" w:rsidR="00000000" w:rsidRPr="00000000">
              <w:rPr>
                <w:b w:val="1"/>
                <w:rtl w:val="0"/>
              </w:rPr>
              <w:t xml:space="preserve">Bronze</w:t>
            </w:r>
          </w:p>
        </w:tc>
      </w:tr>
      <w:tr>
        <w:trPr>
          <w:trHeight w:val="480" w:hRule="atLeast"/>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4">
            <w:pPr>
              <w:jc w:val="center"/>
              <w:rPr/>
            </w:pPr>
            <w:r w:rsidDel="00000000" w:rsidR="00000000" w:rsidRPr="00000000">
              <w:rPr>
                <w:rtl w:val="0"/>
              </w:rPr>
              <w:t xml:space="preserve">94%</w:t>
            </w:r>
          </w:p>
        </w:tc>
        <w:tc>
          <w:tcPr>
            <w:tcBorders>
              <w:top w:color="000000" w:space="0" w:sz="0" w:val="nil"/>
              <w:left w:color="000000" w:space="0" w:sz="0" w:val="nil"/>
              <w:bottom w:color="000000" w:space="0" w:sz="8" w:val="single"/>
              <w:right w:color="000000" w:space="0" w:sz="8" w:val="single"/>
            </w:tcBorders>
            <w:shd w:fill="fbe4d5" w:val="clear"/>
            <w:tcMar>
              <w:top w:w="100.0" w:type="dxa"/>
              <w:left w:w="100.0" w:type="dxa"/>
              <w:bottom w:w="100.0" w:type="dxa"/>
              <w:right w:w="100.0" w:type="dxa"/>
            </w:tcMar>
            <w:vAlign w:val="top"/>
          </w:tcPr>
          <w:p w:rsidR="00000000" w:rsidDel="00000000" w:rsidP="00000000" w:rsidRDefault="00000000" w:rsidRPr="00000000" w14:paraId="00000085">
            <w:pPr>
              <w:jc w:val="center"/>
              <w:rPr/>
            </w:pPr>
            <w:r w:rsidDel="00000000" w:rsidR="00000000" w:rsidRPr="00000000">
              <w:rPr>
                <w:rtl w:val="0"/>
              </w:rPr>
              <w:t xml:space="preserve">6%</w:t>
            </w:r>
          </w:p>
        </w:tc>
      </w:tr>
      <w:tr>
        <w:trPr>
          <w:trHeight w:val="480" w:hRule="atLeast"/>
        </w:trPr>
        <w:tc>
          <w:tcPr>
            <w:gridSpan w:val="2"/>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86">
            <w:pPr>
              <w:jc w:val="center"/>
              <w:rPr>
                <w:b w:val="1"/>
              </w:rPr>
            </w:pPr>
            <w:r w:rsidDel="00000000" w:rsidR="00000000" w:rsidRPr="00000000">
              <w:rPr>
                <w:b w:val="1"/>
                <w:rtl w:val="0"/>
              </w:rPr>
              <w:t xml:space="preserve">All Year 11 pupils on site will leave with a Duke of Edinburgh Award.</w:t>
            </w:r>
          </w:p>
        </w:tc>
      </w:tr>
    </w:tbl>
    <w:p w:rsidR="00000000" w:rsidDel="00000000" w:rsidP="00000000" w:rsidRDefault="00000000" w:rsidRPr="00000000" w14:paraId="00000088">
      <w:pPr>
        <w:rPr/>
      </w:pPr>
      <w:r w:rsidDel="00000000" w:rsidR="00000000" w:rsidRPr="00000000">
        <w:rPr>
          <w:rtl w:val="0"/>
        </w:rPr>
        <w:t xml:space="preserve"> </w:t>
      </w:r>
    </w:p>
    <w:p w:rsidR="00000000" w:rsidDel="00000000" w:rsidP="00000000" w:rsidRDefault="00000000" w:rsidRPr="00000000" w14:paraId="00000089">
      <w:pPr>
        <w:rPr/>
      </w:pPr>
      <w:r w:rsidDel="00000000" w:rsidR="00000000" w:rsidRPr="00000000">
        <w:rPr>
          <w:rtl w:val="0"/>
        </w:rPr>
        <w:t xml:space="preserve">GCSE results:</w:t>
      </w:r>
    </w:p>
    <w:tbl>
      <w:tblPr>
        <w:tblStyle w:val="Table5"/>
        <w:tblW w:w="151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95"/>
        <w:gridCol w:w="7800"/>
        <w:tblGridChange w:id="0">
          <w:tblGrid>
            <w:gridCol w:w="7395"/>
            <w:gridCol w:w="7800"/>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8A">
            <w:pPr>
              <w:jc w:val="center"/>
              <w:rPr>
                <w:b w:val="1"/>
              </w:rPr>
            </w:pPr>
            <w:r w:rsidDel="00000000" w:rsidR="00000000" w:rsidRPr="00000000">
              <w:rPr>
                <w:b w:val="1"/>
                <w:rtl w:val="0"/>
              </w:rPr>
              <w:t xml:space="preserve">English</w:t>
            </w:r>
          </w:p>
        </w:tc>
        <w:tc>
          <w:tcPr>
            <w:tcBorders>
              <w:top w:color="000000" w:space="0" w:sz="8" w:val="single"/>
              <w:left w:color="000000" w:space="0" w:sz="0" w:val="nil"/>
              <w:bottom w:color="000000" w:space="0" w:sz="8" w:val="single"/>
              <w:right w:color="000000" w:space="0" w:sz="8" w:val="single"/>
            </w:tcBorders>
            <w:shd w:fill="bdd6ee" w:val="clear"/>
            <w:tcMar>
              <w:top w:w="100.0" w:type="dxa"/>
              <w:left w:w="100.0" w:type="dxa"/>
              <w:bottom w:w="100.0" w:type="dxa"/>
              <w:right w:w="100.0" w:type="dxa"/>
            </w:tcMar>
            <w:vAlign w:val="top"/>
          </w:tcPr>
          <w:p w:rsidR="00000000" w:rsidDel="00000000" w:rsidP="00000000" w:rsidRDefault="00000000" w:rsidRPr="00000000" w14:paraId="0000008B">
            <w:pPr>
              <w:jc w:val="center"/>
              <w:rPr>
                <w:b w:val="1"/>
              </w:rPr>
            </w:pPr>
            <w:r w:rsidDel="00000000" w:rsidR="00000000" w:rsidRPr="00000000">
              <w:rPr>
                <w:b w:val="1"/>
                <w:rtl w:val="0"/>
              </w:rPr>
              <w:t xml:space="preserve">Maths</w:t>
            </w:r>
          </w:p>
        </w:tc>
      </w:tr>
      <w:tr>
        <w:trPr>
          <w:trHeight w:val="480" w:hRule="atLeast"/>
        </w:trPr>
        <w:tc>
          <w:tcPr>
            <w:tcBorders>
              <w:top w:color="000000" w:space="0" w:sz="0" w:val="nil"/>
              <w:left w:color="000000" w:space="0" w:sz="8" w:val="single"/>
              <w:bottom w:color="000000" w:space="0" w:sz="8" w:val="single"/>
              <w:right w:color="0000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8C">
            <w:pPr>
              <w:rPr/>
            </w:pPr>
            <w:r w:rsidDel="00000000" w:rsidR="00000000" w:rsidRPr="00000000">
              <w:rPr>
                <w:rtl w:val="0"/>
              </w:rPr>
              <w:t xml:space="preserve">2 pupils - 2 grade 4</w:t>
            </w:r>
          </w:p>
        </w:tc>
        <w:tc>
          <w:tcPr>
            <w:tcBorders>
              <w:top w:color="000000" w:space="0" w:sz="0" w:val="nil"/>
              <w:left w:color="000000" w:space="0" w:sz="0" w:val="nil"/>
              <w:bottom w:color="000000" w:space="0" w:sz="8" w:val="single"/>
              <w:right w:color="000000" w:space="0" w:sz="8" w:val="single"/>
            </w:tcBorders>
            <w:shd w:fill="bdd6ee" w:val="clear"/>
            <w:tcMar>
              <w:top w:w="100.0" w:type="dxa"/>
              <w:left w:w="100.0" w:type="dxa"/>
              <w:bottom w:w="100.0" w:type="dxa"/>
              <w:right w:w="100.0" w:type="dxa"/>
            </w:tcMar>
            <w:vAlign w:val="top"/>
          </w:tcPr>
          <w:p w:rsidR="00000000" w:rsidDel="00000000" w:rsidP="00000000" w:rsidRDefault="00000000" w:rsidRPr="00000000" w14:paraId="0000008D">
            <w:pPr>
              <w:rPr/>
            </w:pPr>
            <w:r w:rsidDel="00000000" w:rsidR="00000000" w:rsidRPr="00000000">
              <w:rPr>
                <w:rtl w:val="0"/>
              </w:rPr>
              <w:t xml:space="preserve"> 2 pupils - 1 grade 3 (to be remarked as it was 2 marks off a grade 4) and one grade 4</w:t>
            </w:r>
          </w:p>
        </w:tc>
      </w:tr>
    </w:tbl>
    <w:p w:rsidR="00000000" w:rsidDel="00000000" w:rsidP="00000000" w:rsidRDefault="00000000" w:rsidRPr="00000000" w14:paraId="0000008E">
      <w:pPr>
        <w:rPr/>
      </w:pPr>
      <w:r w:rsidDel="00000000" w:rsidR="00000000" w:rsidRPr="00000000">
        <w:rPr>
          <w:rtl w:val="0"/>
        </w:rPr>
      </w:r>
    </w:p>
    <w:sectPr>
      <w:footerReference r:id="rId13" w:type="default"/>
      <w:footerReference r:id="rId14" w:type="first"/>
      <w:pgSz w:h="11906" w:w="16838"/>
      <w:pgMar w:bottom="720.0000000000001" w:top="720.0000000000001" w:left="720.0000000000001" w:right="720.0000000000001"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footer" Target="footer2.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5.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